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  <Override PartName="/word/media/rId30.png" ContentType="image/png"/>
  <Override PartName="/word/media/rId18.png" ContentType="image/png"/>
  <Override PartName="/word/media/rId15.png" ContentType="image/png"/>
  <Override PartName="/word/media/rId1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goal of this notebook is to present a complete Harbinger workflow: loading an example dataset, configuring the method used in the notebook, running the analysis, and interpreting the resulting outputs and plots.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notebook illustrates typical change-point scenarios (single break, multiple breaks, variance/volatility shifts) and how Harbinger visualizes detected change locations. We use the unified pipeline to fit, detect, and plot across datasets, highlighting when classic (AMOC/BinSeg/PELT) or regression-based (GFT/Chow) approaches are appropriate.</w:t>
      </w:r>
    </w:p>
    <w:bookmarkEnd w:id="10"/>
    <w:bookmarkStart w:id="3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harbinger()</w:t>
      </w:r>
      <w:r>
        <w:t xml:space="preserve">. The semantic point is the one stated above: this notebook illustrates typical change-point scenarios (single break, multiple breaks, variance/volatility shifts) and how Harbinger visualizes detected change locations,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bookmarkEnd w:id="11"/>
    <w:bookmarkStart w:id="33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this notebook illustrates typical change-point scenarios (single break, multiple breaks, variance/volatility shifts) and how Harbinger visualizes detected change locations, so each argument controls how strongly the method will emphasize that pattern when it later produces workflow outputs.</w:t>
      </w:r>
    </w:p>
    <w:p>
      <w:pPr>
        <w:pStyle w:val="SourceCode"/>
      </w:pPr>
      <w:r>
        <w:rPr>
          <w:rStyle w:val="CommentTok"/>
        </w:rPr>
        <w:t xml:space="preserve"># Load change-point example datasets and create a base object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Simple change point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db1f9964476d93415215028ab31915b4222a28a5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Sinusoidal pattern with regime shift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sinusoidal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b6d4115ce6699f8b8fc46737e1b01dd41cb52c15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Incremental trend changes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incremental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1ae0fb30808114c955116a182eba968aa460675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Abrupt level shift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abrupt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&lt;ts&gt;.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17672b3fbfad664d7310404a984c86c6654ab3fb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Volatility (variance) change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volatility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&lt;ts&gt;.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0170f544865302ba7e51b5332ce100fd19e63f4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Increasing amplitude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increasing_amplitude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fe95fb8e56c13f41cd2f6618bb0be8d40b9d364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Complex multi-regime series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gpca/harbinger/examples/general/doc/03-orientation-examples_changepoints_files/1ad495017cd195dd760142c37009ff7ff61ade0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Hinkley, D. V. (1970). Inference about the change-point in a sequence of random variables. Biometrika, 57(1), 1-17.</w:t>
      </w:r>
    </w:p>
    <w:p>
      <w:pPr>
        <w:pStyle w:val="Compact"/>
        <w:numPr>
          <w:ilvl w:val="0"/>
          <w:numId w:val="1002"/>
        </w:numPr>
      </w:pPr>
      <w:r>
        <w:t xml:space="preserve">Killick, R., Fearnhead, P., Eckley, I. A. (2012). Optimal detection of changepoints with a linear computational cost. JASA, 107(500), 1590-1598.</w:t>
      </w:r>
    </w:p>
    <w:p>
      <w:pPr>
        <w:pStyle w:val="Compact"/>
        <w:numPr>
          <w:ilvl w:val="0"/>
          <w:numId w:val="1002"/>
        </w:numPr>
      </w:pPr>
      <w:r>
        <w:t xml:space="preserve">Zeileis, A., Leisch, F., Kleiber, C., Hornik, K. (2002). strucchange: An R package for testing for structural change in linear regression models. JSS, 7(2).</w:t>
      </w:r>
      <w:r>
        <w:t xml:space="preserve"> </w:t>
      </w:r>
      <w:hyperlink r:id="rId35">
        <w:r>
          <w:rPr>
            <w:rStyle w:val="Hyperlink"/>
          </w:rPr>
          <w:t xml:space="preserve">doi:10.18637/jss.v007.i02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hyperlink" Id="rId35" Target="doi:10.18637/jss.v007.i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doi:10.18637/jss.v007.i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2026-07-08T22:38:34Z</dcterms:created>
  <dcterms:modified xsi:type="dcterms:W3CDTF">2026-07-08T22:38:34Z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