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XSAX extends SAX to a larger alphanumeric alphabet, enabling finer symbolic resolution for motif discovery. In this tutorial we:</w:t>
      </w:r>
    </w:p>
    <w:p>
      <w:pPr>
        <w:pStyle w:val="Compact"/>
        <w:numPr>
          <w:ilvl w:val="0"/>
          <w:numId w:val="1001"/>
        </w:numPr>
      </w:pPr>
      <w:r>
        <w:t xml:space="preserve">Load and visualize a motif dataset</w:t>
      </w:r>
    </w:p>
    <w:p>
      <w:pPr>
        <w:pStyle w:val="Compact"/>
        <w:numPr>
          <w:ilvl w:val="0"/>
          <w:numId w:val="1001"/>
        </w:numPr>
      </w:pPr>
      <w:r>
        <w:t xml:space="preserve">Configure</w:t>
      </w:r>
      <w:r>
        <w:t xml:space="preserve"> </w:t>
      </w:r>
      <w:r>
        <w:rPr>
          <w:rStyle w:val="VerbatimChar"/>
        </w:rPr>
        <w:t xml:space="preserve">hmo_xsax(a, w, qtd)</w:t>
      </w:r>
      <w:r>
        <w:t xml:space="preserve"> </w:t>
      </w:r>
      <w:r>
        <w:t xml:space="preserve">and run detection</w:t>
      </w:r>
    </w:p>
    <w:p>
      <w:pPr>
        <w:pStyle w:val="Compact"/>
        <w:numPr>
          <w:ilvl w:val="0"/>
          <w:numId w:val="1001"/>
        </w:numPr>
      </w:pPr>
      <w:r>
        <w:t xml:space="preserve">Inspect and evaluate motif occurrences</w:t>
      </w:r>
    </w:p>
    <w:bookmarkEnd w:id="9"/>
    <w:bookmarkStart w:id="10" w:name="method-at-a-glance"/>
    <w:p>
      <w:pPr>
        <w:pStyle w:val="Heading2"/>
      </w:pPr>
      <w:r>
        <w:t xml:space="preserve">Method at a glance</w:t>
      </w:r>
    </w:p>
    <w:p>
      <w:pPr>
        <w:pStyle w:val="FirstParagraph"/>
      </w:pPr>
      <w:r>
        <w:t xml:space="preserve">XSAX motif discovery: XSAX extends SAX to a larger alphanumeric alphabet, allowing finer symbolic resolution. Motifs are frequent symbolic words or closely related patterns.</w:t>
      </w:r>
    </w:p>
    <w:bookmarkEnd w:id="10"/>
    <w:bookmarkStart w:id="23"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hmo_xsax(a, w, qtd)</w:t>
      </w:r>
      <w:r>
        <w:t xml:space="preserve">. The semantic point is the one stated above: xSAX motif discovery: XSAX extends SAX to a larger alphanumeric alphabet, allowing finer symbolic resolution,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motif datasets</w:t>
      </w:r>
      <w:r>
        <w:br/>
      </w:r>
      <w:r>
        <w:rPr>
          <w:rStyle w:val="FunctionTok"/>
        </w:rPr>
        <w:t xml:space="preserve">data</w:t>
      </w:r>
      <w:r>
        <w:rPr>
          <w:rStyle w:val="NormalTok"/>
        </w:rPr>
        <w:t xml:space="preserve">(examples_motifs)</w:t>
      </w:r>
    </w:p>
    <w:p>
      <w:pPr>
        <w:pStyle w:val="SourceCode"/>
      </w:pPr>
      <w:r>
        <w:rPr>
          <w:rStyle w:val="CommentTok"/>
        </w:rPr>
        <w:t xml:space="preserve"># Select the simple motif dataset</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0.9939124 FALSE</w:t>
      </w:r>
      <w:r>
        <w:br/>
      </w:r>
      <w:r>
        <w:rPr>
          <w:rStyle w:val="VerbatimChar"/>
        </w:rPr>
        <w:t xml:space="preserve">## 3 0.9275826 FALSE</w:t>
      </w:r>
      <w:r>
        <w:br/>
      </w:r>
      <w:r>
        <w:rPr>
          <w:rStyle w:val="VerbatimChar"/>
        </w:rPr>
        <w:t xml:space="preserve">## 4 0.8066889 FALSE</w:t>
      </w:r>
      <w:r>
        <w:br/>
      </w:r>
      <w:r>
        <w:rPr>
          <w:rStyle w:val="VerbatimChar"/>
        </w:rPr>
        <w:t xml:space="preserve">## 5 0.6403023 FALSE</w:t>
      </w:r>
      <w:r>
        <w:br/>
      </w:r>
      <w:r>
        <w:rPr>
          <w:rStyle w:val="VerbatimChar"/>
        </w:rPr>
        <w:t xml:space="preserve">## 6 0.4403224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xSAX motif discovery: XSAX extends SAX to a larger alphanumeric alphabet, allowing finer symbolic resolution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motifs/doc/07-symbolic-hmo_xsax_files/562cdc35c851ac6edd1cb5a6a3271b5c941a6459.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xSAX motif discovery: XSAX extends SAX to a larger alphanumeric alphabet, allowing finer symbolic resolution, so each argument controls how strongly the method will emphasize that pattern when it later produces motif candidates.</w:t>
      </w:r>
    </w:p>
    <w:p>
      <w:pPr>
        <w:pStyle w:val="SourceCode"/>
      </w:pPr>
      <w:r>
        <w:rPr>
          <w:rStyle w:val="CommentTok"/>
        </w:rPr>
        <w:t xml:space="preserve"># Configure XSAX motif discovery (alphabet=37, word=3, min occurrences=3)</w:t>
      </w:r>
      <w:r>
        <w:br/>
      </w:r>
      <w:r>
        <w:rPr>
          <w:rStyle w:val="NormalTok"/>
        </w:rPr>
        <w:t xml:space="preserve">model </w:t>
      </w:r>
      <w:r>
        <w:rPr>
          <w:rStyle w:val="OtherTok"/>
        </w:rPr>
        <w:t xml:space="preserve">&lt;-</w:t>
      </w:r>
      <w:r>
        <w:rPr>
          <w:rStyle w:val="NormalTok"/>
        </w:rPr>
        <w:t xml:space="preserve"> </w:t>
      </w:r>
      <w:r>
        <w:rPr>
          <w:rStyle w:val="FunctionTok"/>
        </w:rPr>
        <w:t xml:space="preserve">hmo_xsax</w:t>
      </w:r>
      <w:r>
        <w:rPr>
          <w:rStyle w:val="NormalTok"/>
        </w:rPr>
        <w:t xml:space="preserve">(</w:t>
      </w:r>
      <w:r>
        <w:rPr>
          <w:rStyle w:val="DecValTok"/>
        </w:rPr>
        <w:t xml:space="preserve">37</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p>
    <w:p>
      <w:pPr>
        <w:pStyle w:val="SourceCode"/>
      </w:pPr>
      <w:r>
        <w:rPr>
          <w:rStyle w:val="CommentTok"/>
        </w:rPr>
        <w:t xml:space="preserve"># Fit the detector (learns binning thresholds)</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hmo_xsax(a, w, qtd)</w:t>
      </w:r>
      <w:r>
        <w:t xml:space="preserve">, the important question is whether the resulting motif candidates really correspond to the pattern implied by the method description above, rather than to arbitrary numerical variation.</w:t>
      </w:r>
    </w:p>
    <w:p>
      <w:pPr>
        <w:pStyle w:val="SourceCode"/>
      </w:pPr>
      <w:r>
        <w:rPr>
          <w:rStyle w:val="CommentTok"/>
        </w:rPr>
        <w:t xml:space="preserve"># Run motif discovery</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motif starts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25  TRUE motif 0N0P0R      3</w:t>
      </w:r>
      <w:r>
        <w:br/>
      </w:r>
      <w:r>
        <w:rPr>
          <w:rStyle w:val="VerbatimChar"/>
        </w:rPr>
        <w:t xml:space="preserve">## 2  50  TRUE motif 0N0P0R      3</w:t>
      </w:r>
      <w:r>
        <w:br/>
      </w:r>
      <w:r>
        <w:rPr>
          <w:rStyle w:val="VerbatimChar"/>
        </w:rPr>
        <w:t xml:space="preserve">## 3  75  TRUE motif 0N0P0R      3</w:t>
      </w:r>
    </w:p>
    <w:bookmarkEnd w:id="17"/>
    <w:bookmarkStart w:id="18" w:name="evaluate-what-was-found"/>
    <w:p>
      <w:pPr>
        <w:pStyle w:val="Heading3"/>
      </w:pPr>
      <w:r>
        <w:t xml:space="preserve">Evaluate What Was Found</w:t>
      </w:r>
    </w:p>
    <w:p>
      <w:pPr>
        <w:pStyle w:val="FirstParagraph"/>
      </w:pPr>
      <w:r>
        <w:t xml:space="preserve">The evaluation asks whether the motif candidates produced by</w:t>
      </w:r>
      <w:r>
        <w:t xml:space="preserve"> </w:t>
      </w:r>
      <w:r>
        <w:rPr>
          <w:rStyle w:val="VerbatimChar"/>
        </w:rPr>
        <w:t xml:space="preserve">hmo_xsax(a, w, qtd)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3     0    </w:t>
      </w:r>
      <w:r>
        <w:br/>
      </w:r>
      <w:r>
        <w:rPr>
          <w:rStyle w:val="VerbatimChar"/>
        </w:rPr>
        <w:t xml:space="preserve">## FALSE     0     98</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motif candidates line up with the structure suggested by the method, which is the real semantic test of whether the example is teaching the right lesson.</w:t>
      </w:r>
    </w:p>
    <w:p>
      <w:pPr>
        <w:pStyle w:val="SourceCode"/>
      </w:pPr>
      <w:r>
        <w:rPr>
          <w:rStyle w:val="CommentTok"/>
        </w:rPr>
        <w:t xml:space="preserve"># Plot motifs and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motifs/doc/07-symbolic-hmo_xsax_files/efa117811b4d40f393654de43fbe89e56c83b039.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5" w:name="references"/>
    <w:p>
      <w:pPr>
        <w:pStyle w:val="Heading2"/>
      </w:pPr>
      <w:r>
        <w:t xml:space="preserve">References</w:t>
      </w:r>
    </w:p>
    <w:p>
      <w:pPr>
        <w:pStyle w:val="Compact"/>
        <w:numPr>
          <w:ilvl w:val="0"/>
          <w:numId w:val="1003"/>
        </w:numPr>
      </w:pPr>
      <w:r>
        <w:t xml:space="preserve">Ogasawara, E., Salles, R., Porto, F., Pacitti, E. Event Detection in Time Series. Springer, 2025.</w:t>
      </w:r>
      <w:r>
        <w:t xml:space="preserve"> </w:t>
      </w:r>
      <w:hyperlink r:id="rId24">
        <w:r>
          <w:rPr>
            <w:rStyle w:val="Hyperlink"/>
          </w:rPr>
          <w:t xml:space="preserve">doi:10.1007/978-3-031-75941-3</w:t>
        </w:r>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4"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4"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2026-07-08T22:39:11Z</dcterms:created>
  <dcterms:modified xsi:type="dcterms:W3CDTF">2026-07-08T22:39:11Z</dcterms:modified>
</cp:coreProperties>
</file>

<file path=docProps/custom.xml><?xml version="1.0" encoding="utf-8"?>
<Properties xmlns="http://schemas.openxmlformats.org/officeDocument/2006/custom-properties" xmlns:vt="http://schemas.openxmlformats.org/officeDocument/2006/docPropsVTypes"/>
</file>