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1.png" ContentType="image/png"/>
  <Override PartName="/word/media/rId45.png" ContentType="image/png"/>
  <Override PartName="/word/media/rId49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This notebook introduces the multivariate 3W oil-well datasets bundled through Harbinger. For each dataset object, it loads the full collection with</w:t>
      </w:r>
      <w:r>
        <w:t xml:space="preserve"> </w:t>
      </w:r>
      <w:r>
        <w:rPr>
          <w:rStyle w:val="VerbatimChar"/>
        </w:rPr>
        <w:t xml:space="preserve">loadfulldata()</w:t>
      </w:r>
      <w:r>
        <w:t xml:space="preserve">, reports how many series are available, confirms that the collection is multivariate, and plots the first sensor column from the first series with</w:t>
      </w:r>
      <w:r>
        <w:t xml:space="preserve"> </w:t>
      </w:r>
      <w:r>
        <w:rPr>
          <w:rStyle w:val="VerbatimChar"/>
        </w:rPr>
        <w:t xml:space="preserve">har_plot()</w:t>
      </w:r>
      <w:r>
        <w:t xml:space="preserve">.</w:t>
      </w:r>
    </w:p>
    <w:bookmarkEnd w:id="20"/>
    <w:bookmarkStart w:id="21" w:name="method-at-a-glance"/>
    <w:p>
      <w:pPr>
        <w:pStyle w:val="Heading2"/>
      </w:pPr>
      <w:r>
        <w:t xml:space="preserve">Method at a glance</w:t>
      </w:r>
    </w:p>
    <w:p>
      <w:pPr>
        <w:pStyle w:val="FirstParagraph"/>
      </w:pPr>
      <w:r>
        <w:t xml:space="preserve">This is a data-inspection notebook aimed at multivariate industrial series. The key point is to show how to identify the sensor columns and choose a first variable for visual inspection. To keep the plots readable, each preview uses at most the first 1000 observations.</w:t>
      </w:r>
    </w:p>
    <w:bookmarkEnd w:id="21"/>
    <w:bookmarkStart w:id="22" w:name="what-you-will-do"/>
    <w:p>
      <w:pPr>
        <w:pStyle w:val="Heading2"/>
      </w:pPr>
      <w:r>
        <w:t xml:space="preserve">What you will do</w:t>
      </w:r>
    </w:p>
    <w:p>
      <w:pPr>
        <w:pStyle w:val="Compact"/>
        <w:numPr>
          <w:ilvl w:val="0"/>
          <w:numId w:val="1001"/>
        </w:numPr>
      </w:pPr>
      <w:r>
        <w:t xml:space="preserve">load each 3W dataset object and expand it to the full collection</w:t>
      </w:r>
    </w:p>
    <w:p>
      <w:pPr>
        <w:pStyle w:val="Compact"/>
        <w:numPr>
          <w:ilvl w:val="0"/>
          <w:numId w:val="1001"/>
        </w:numPr>
      </w:pPr>
      <w:r>
        <w:t xml:space="preserve">count the number of multivariate series available</w:t>
      </w:r>
    </w:p>
    <w:p>
      <w:pPr>
        <w:pStyle w:val="Compact"/>
        <w:numPr>
          <w:ilvl w:val="0"/>
          <w:numId w:val="1001"/>
        </w:numPr>
      </w:pPr>
      <w:r>
        <w:t xml:space="preserve">inspect the first-series sensor columns</w:t>
      </w:r>
    </w:p>
    <w:p>
      <w:pPr>
        <w:pStyle w:val="Compact"/>
        <w:numPr>
          <w:ilvl w:val="0"/>
          <w:numId w:val="1001"/>
        </w:numPr>
      </w:pPr>
      <w:r>
        <w:t xml:space="preserve">plot a short preview of the first sensor column together with its labels</w:t>
      </w:r>
    </w:p>
    <w:bookmarkEnd w:id="22"/>
    <w:bookmarkStart w:id="23" w:name="how-to-read-this-walkthrough"/>
    <w:p>
      <w:pPr>
        <w:pStyle w:val="Heading2"/>
      </w:pPr>
      <w:r>
        <w:t xml:space="preserve">How to read this walkthrough</w:t>
      </w:r>
    </w:p>
    <w:p>
      <w:pPr>
        <w:pStyle w:val="FirstParagraph"/>
      </w:pPr>
      <w:r>
        <w:t xml:space="preserve">The code blocks below follow the same learning rhythm used throughout the collection: prepare the environment, choose the dataset, configure the method, run the analysis, and then inspect the result. Readers who are still learning time-series mining can use that order to understand not only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each command does, but also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appears at that stage of the workflow.</w:t>
      </w:r>
    </w:p>
    <w:p>
      <w:pPr>
        <w:pStyle w:val="BodyText"/>
      </w:pPr>
      <w:r>
        <w:t xml:space="preserve">As you go through the notebook, read the inline comments inside each chunk as the operational explanation and use the surrounding prose as the conceptual guide.</w:t>
      </w:r>
    </w:p>
    <w:bookmarkEnd w:id="23"/>
    <w:bookmarkStart w:id="53" w:name="walkthrough"/>
    <w:p>
      <w:pPr>
        <w:pStyle w:val="Heading2"/>
      </w:pPr>
      <w:r>
        <w:t xml:space="preserve">Walkthrough</w:t>
      </w:r>
    </w:p>
    <w:bookmarkStart w:id="24" w:name="define-the-support-structures"/>
    <w:p>
      <w:pPr>
        <w:pStyle w:val="Heading3"/>
      </w:pPr>
      <w:r>
        <w:t xml:space="preserve">Define the Support Structures</w:t>
      </w:r>
    </w:p>
    <w:p>
      <w:pPr>
        <w:pStyle w:val="FirstParagraph"/>
      </w:pPr>
      <w:r>
        <w:t xml:space="preserve">Before applying the workflow itself, we define the helper functions or custom objects that make the example possible. This is one of the most important didactic moments in extension-oriented notebooks because it shows the contract that Harbinger expects and where the reader can adapt the behavior later.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br/>
      </w:r>
      <w:r>
        <w:rPr>
          <w:rStyle w:val="NormalTok"/>
        </w:rPr>
        <w:t xml:space="preserve">dataset_summary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first_series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  meta_cols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"event"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"type"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"seqlen"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signal_cols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(first_series), meta_cols)</w:t>
      </w:r>
      <w:r>
        <w:br/>
      </w:r>
      <w:r>
        <w:rPr>
          <w:rStyle w:val="NormalTok"/>
        </w:rPr>
        <w:t xml:space="preserve">  dataset_type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(signal_cols)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tringTok"/>
        </w:rPr>
        <w:t xml:space="preserve">"univariate"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"multivariate"</w:t>
      </w:r>
      <w:r>
        <w:br/>
      </w:r>
      <w:r>
        <w:rPr>
          <w:rStyle w:val="NormalTok"/>
        </w:rPr>
        <w:t xml:space="preserve">  plot_column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(first_series))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signal_cols[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n_series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dataset_type =</w:t>
      </w:r>
      <w:r>
        <w:rPr>
          <w:rStyle w:val="NormalTok"/>
        </w:rPr>
        <w:t xml:space="preserve"> dataset_type,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signal_cols =</w:t>
      </w:r>
      <w:r>
        <w:rPr>
          <w:rStyle w:val="NormalTok"/>
        </w:rPr>
        <w:t xml:space="preserve"> signal_cols,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plot_column =</w:t>
      </w:r>
      <w:r>
        <w:rPr>
          <w:rStyle w:val="NormalTok"/>
        </w:rPr>
        <w:t xml:space="preserve"> plot_column,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preview_size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(first_series)),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first_series =</w:t>
      </w:r>
      <w:r>
        <w:rPr>
          <w:rStyle w:val="NormalTok"/>
        </w:rPr>
        <w:t xml:space="preserve"> first_series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show_dataset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name) {</w:t>
      </w:r>
      <w:r>
        <w:br/>
      </w:r>
      <w:r>
        <w:rPr>
          <w:rStyle w:val="NormalTok"/>
        </w:rPr>
        <w:t xml:space="preserve">  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dataset_summary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"Dataset:"</w:t>
      </w:r>
      <w:r>
        <w:rPr>
          <w:rStyle w:val="NormalTok"/>
        </w:rPr>
        <w:t xml:space="preserve">, name,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"Number of series:"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n_series,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 type:"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dataset_type,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"Signals in the first series:"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signal_cols,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", 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"Column plotted with har_plot():"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plot_column,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"Plot preview length:"</w:t>
      </w:r>
      <w:r>
        <w:rPr>
          <w:rStyle w:val="NormalTok"/>
        </w:rPr>
        <w:t xml:space="preserve">,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preview_size, </w:t>
      </w:r>
      <w:r>
        <w:rPr>
          <w:rStyle w:val="StringTok"/>
        </w:rPr>
        <w:t xml:space="preserve">"observations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invisible</w:t>
      </w:r>
      <w:r>
        <w:rPr>
          <w:rStyle w:val="NormalTok"/>
        </w:rPr>
        <w:t xml:space="preserve">(info)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plot_dataset_preview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(info) {</w:t>
      </w:r>
      <w:r>
        <w:br/>
      </w:r>
      <w:r>
        <w:rPr>
          <w:rStyle w:val="NormalTok"/>
        </w:rPr>
        <w:t xml:space="preserve">  preview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first_series[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preview_size), , drop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har_plot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harbinger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preview[[info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plot_column]],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preview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</w:p>
    <w:bookmarkEnd w:id="24"/>
    <w:bookmarkStart w:id="28" w:name="oil_3w_type_1"/>
    <w:p>
      <w:pPr>
        <w:pStyle w:val="Heading3"/>
      </w:pPr>
      <w:r>
        <w:t xml:space="preserve">oil_3w_Type_1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(oil_3w_Type_1)</w:t>
      </w:r>
      <w:r>
        <w:br/>
      </w:r>
      <w:r>
        <w:rPr>
          <w:rStyle w:val="NormalTok"/>
        </w:rPr>
        <w:t xml:space="preserve">oil_3w_Type_1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(oil_3w_Type_1)</w:t>
      </w:r>
      <w:r>
        <w:br/>
      </w:r>
      <w:r>
        <w:rPr>
          <w:rStyle w:val="NormalTok"/>
        </w:rPr>
        <w:t xml:space="preserve">oil_type_1_info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(oil_3w_Type_1, </w:t>
      </w:r>
      <w:r>
        <w:rPr>
          <w:rStyle w:val="StringTok"/>
        </w:rPr>
        <w:t xml:space="preserve">"oil_3w_Type_1"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oil_3w_Type_1 </w:t>
      </w:r>
      <w:r>
        <w:br/>
      </w:r>
      <w:r>
        <w:rPr>
          <w:rStyle w:val="VerbatimChar"/>
        </w:rPr>
        <w:t xml:space="preserve">## Number of series: 5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(oil_type_1_info)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/home/gpca/harbinger/examples/data/doc/05-domain-oil_3w_files/figure-docx/unnamed-chunk-3-1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32" w:name="oil_3w_type_2"/>
    <w:p>
      <w:pPr>
        <w:pStyle w:val="Heading3"/>
      </w:pPr>
      <w:r>
        <w:t xml:space="preserve">oil_3w_Type_2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(oil_3w_Type_2)</w:t>
      </w:r>
      <w:r>
        <w:br/>
      </w:r>
      <w:r>
        <w:rPr>
          <w:rStyle w:val="NormalTok"/>
        </w:rPr>
        <w:t xml:space="preserve">oil_3w_Type_2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(oil_3w_Type_2)</w:t>
      </w:r>
      <w:r>
        <w:br/>
      </w:r>
      <w:r>
        <w:rPr>
          <w:rStyle w:val="NormalTok"/>
        </w:rPr>
        <w:t xml:space="preserve">oil_type_2_info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(oil_3w_Type_2, </w:t>
      </w:r>
      <w:r>
        <w:rPr>
          <w:rStyle w:val="StringTok"/>
        </w:rPr>
        <w:t xml:space="preserve">"oil_3w_Type_2"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oil_3w_Type_2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(oil_type_2_info)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/home/gpca/harbinger/examples/data/doc/05-domain-oil_3w_files/figure-docx/unnamed-chunk-5-1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2"/>
    <w:bookmarkStart w:id="36" w:name="oil_3w_type_4"/>
    <w:p>
      <w:pPr>
        <w:pStyle w:val="Heading3"/>
      </w:pPr>
      <w:r>
        <w:t xml:space="preserve">oil_3w_Type_4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(oil_3w_Type_4)</w:t>
      </w:r>
      <w:r>
        <w:br/>
      </w:r>
      <w:r>
        <w:rPr>
          <w:rStyle w:val="NormalTok"/>
        </w:rPr>
        <w:t xml:space="preserve">oil_3w_Type_4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(oil_3w_Type_4)</w:t>
      </w:r>
      <w:r>
        <w:br/>
      </w:r>
      <w:r>
        <w:rPr>
          <w:rStyle w:val="NormalTok"/>
        </w:rPr>
        <w:t xml:space="preserve">oil_type_4_info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(oil_3w_Type_4, </w:t>
      </w:r>
      <w:r>
        <w:rPr>
          <w:rStyle w:val="StringTok"/>
        </w:rPr>
        <w:t xml:space="preserve">"oil_3w_Type_4"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oil_3w_Type_4 </w:t>
      </w:r>
      <w:r>
        <w:br/>
      </w:r>
      <w:r>
        <w:rPr>
          <w:rStyle w:val="VerbatimChar"/>
        </w:rPr>
        <w:t xml:space="preserve">## Number of series: 3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p_jus_ckgl, p_mon_ckp, p_pdg, p_tpt, qgl, t_jus_ckp, t_pdg, t_tpt </w:t>
      </w:r>
      <w:r>
        <w:br/>
      </w:r>
      <w:r>
        <w:rPr>
          <w:rStyle w:val="VerbatimChar"/>
        </w:rPr>
        <w:t xml:space="preserve">## Column plotted with har_plot(): p_jus_ckgl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(oil_type_4_info)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/home/gpca/harbinger/examples/data/doc/05-domain-oil_3w_files/figure-docx/unnamed-chunk-7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oil_3w_type_5"/>
    <w:p>
      <w:pPr>
        <w:pStyle w:val="Heading3"/>
      </w:pPr>
      <w:r>
        <w:t xml:space="preserve">oil_3w_Type_5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(oil_3w_Type_5)</w:t>
      </w:r>
      <w:r>
        <w:br/>
      </w:r>
      <w:r>
        <w:rPr>
          <w:rStyle w:val="NormalTok"/>
        </w:rPr>
        <w:t xml:space="preserve">oil_3w_Type_5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(oil_3w_Type_5)</w:t>
      </w:r>
      <w:r>
        <w:br/>
      </w:r>
      <w:r>
        <w:rPr>
          <w:rStyle w:val="NormalTok"/>
        </w:rPr>
        <w:t xml:space="preserve">oil_type_5_info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(oil_3w_Type_5, </w:t>
      </w:r>
      <w:r>
        <w:rPr>
          <w:rStyle w:val="StringTok"/>
        </w:rPr>
        <w:t xml:space="preserve">"oil_3w_Type_5"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oil_3w_Type_5 </w:t>
      </w:r>
      <w:r>
        <w:br/>
      </w:r>
      <w:r>
        <w:rPr>
          <w:rStyle w:val="VerbatimChar"/>
        </w:rPr>
        <w:t xml:space="preserve">## Number of series: 12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(oil_type_5_info)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/home/gpca/harbinger/examples/data/doc/05-domain-oil_3w_files/figure-docx/unnamed-chunk-9-1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4" w:name="oil_3w_type_6"/>
    <w:p>
      <w:pPr>
        <w:pStyle w:val="Heading3"/>
      </w:pPr>
      <w:r>
        <w:t xml:space="preserve">oil_3w_Type_6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(oil_3w_Type_6)</w:t>
      </w:r>
      <w:r>
        <w:br/>
      </w:r>
      <w:r>
        <w:rPr>
          <w:rStyle w:val="NormalTok"/>
        </w:rPr>
        <w:t xml:space="preserve">oil_3w_Type_6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(oil_3w_Type_6)</w:t>
      </w:r>
      <w:r>
        <w:br/>
      </w:r>
      <w:r>
        <w:rPr>
          <w:rStyle w:val="NormalTok"/>
        </w:rPr>
        <w:t xml:space="preserve">oil_type_6_info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(oil_3w_Type_6, </w:t>
      </w:r>
      <w:r>
        <w:rPr>
          <w:rStyle w:val="StringTok"/>
        </w:rPr>
        <w:t xml:space="preserve">"oil_3w_Type_6"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oil_3w_Type_6 </w:t>
      </w:r>
      <w:r>
        <w:br/>
      </w:r>
      <w:r>
        <w:rPr>
          <w:rStyle w:val="VerbatimChar"/>
        </w:rPr>
        <w:t xml:space="preserve">## Number of series: 6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(oil_type_6_info)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/home/gpca/harbinger/examples/data/doc/05-domain-oil_3w_files/figure-docx/unnamed-chunk-11-1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4"/>
    <w:bookmarkStart w:id="48" w:name="oil_3w_type_7"/>
    <w:p>
      <w:pPr>
        <w:pStyle w:val="Heading3"/>
      </w:pPr>
      <w:r>
        <w:t xml:space="preserve">oil_3w_Type_7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(oil_3w_Type_7)</w:t>
      </w:r>
      <w:r>
        <w:br/>
      </w:r>
      <w:r>
        <w:rPr>
          <w:rStyle w:val="NormalTok"/>
        </w:rPr>
        <w:t xml:space="preserve">oil_3w_Type_7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(oil_3w_Type_7)</w:t>
      </w:r>
      <w:r>
        <w:br/>
      </w:r>
      <w:r>
        <w:rPr>
          <w:rStyle w:val="NormalTok"/>
        </w:rPr>
        <w:t xml:space="preserve">oil_type_7_info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(oil_3w_Type_7, </w:t>
      </w:r>
      <w:r>
        <w:rPr>
          <w:rStyle w:val="StringTok"/>
        </w:rPr>
        <w:t xml:space="preserve">"oil_3w_Type_7"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oil_3w_Type_7 </w:t>
      </w:r>
      <w:r>
        <w:br/>
      </w:r>
      <w:r>
        <w:rPr>
          <w:rStyle w:val="VerbatimChar"/>
        </w:rPr>
        <w:t xml:space="preserve">## Number of series: 4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T_JUS_CKP,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(oil_type_7_info)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/home/gpca/harbinger/examples/data/doc/05-domain-oil_3w_files/figure-docx/unnamed-chunk-13-1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52" w:name="oil_3w_type_8"/>
    <w:p>
      <w:pPr>
        <w:pStyle w:val="Heading3"/>
      </w:pPr>
      <w:r>
        <w:t xml:space="preserve">oil_3w_Type_8</w:t>
      </w:r>
    </w:p>
    <w:p>
      <w:pPr>
        <w:pStyle w:val="FirstParagraph"/>
      </w:pPr>
      <w:r>
        <w:t xml:space="preserve">In this subsection, we load the relevant data object, confirm its structure, and prepare a concise preview so the reader can understand what kind of signal will be explored.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(oil_3w_Type_8)</w:t>
      </w:r>
      <w:r>
        <w:br/>
      </w:r>
      <w:r>
        <w:rPr>
          <w:rStyle w:val="NormalTok"/>
        </w:rPr>
        <w:t xml:space="preserve">oil_3w_Type_8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loadfulldata</w:t>
      </w:r>
      <w:r>
        <w:rPr>
          <w:rStyle w:val="NormalTok"/>
        </w:rPr>
        <w:t xml:space="preserve">(oil_3w_Type_8)</w:t>
      </w:r>
      <w:r>
        <w:br/>
      </w:r>
      <w:r>
        <w:rPr>
          <w:rStyle w:val="NormalTok"/>
        </w:rPr>
        <w:t xml:space="preserve">oil_type_8_info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show_dataset</w:t>
      </w:r>
      <w:r>
        <w:rPr>
          <w:rStyle w:val="NormalTok"/>
        </w:rPr>
        <w:t xml:space="preserve">(oil_3w_Type_8, </w:t>
      </w:r>
      <w:r>
        <w:rPr>
          <w:rStyle w:val="StringTok"/>
        </w:rPr>
        <w:t xml:space="preserve">"oil_3w_Type_8"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Dataset: oil_3w_Type_8 </w:t>
      </w:r>
      <w:r>
        <w:br/>
      </w:r>
      <w:r>
        <w:rPr>
          <w:rStyle w:val="VerbatimChar"/>
        </w:rPr>
        <w:t xml:space="preserve">## Number of series: 3 </w:t>
      </w:r>
      <w:r>
        <w:br/>
      </w:r>
      <w:r>
        <w:rPr>
          <w:rStyle w:val="VerbatimChar"/>
        </w:rPr>
        <w:t xml:space="preserve">## Dataset type: multivariate </w:t>
      </w:r>
      <w:r>
        <w:br/>
      </w:r>
      <w:r>
        <w:rPr>
          <w:rStyle w:val="VerbatimChar"/>
        </w:rPr>
        <w:t xml:space="preserve">## Signals in the first series: p_pdg, p_tpt, t_tpt, p_mon_ckp, p_jus_ckgl, qgl </w:t>
      </w:r>
      <w:r>
        <w:br/>
      </w:r>
      <w:r>
        <w:rPr>
          <w:rStyle w:val="VerbatimChar"/>
        </w:rPr>
        <w:t xml:space="preserve">## Column plotted with har_plot(): p_pdg </w:t>
      </w:r>
      <w:r>
        <w:br/>
      </w:r>
      <w:r>
        <w:rPr>
          <w:rStyle w:val="VerbatimChar"/>
        </w:rPr>
        <w:t xml:space="preserve">## Plot preview length: 1000 observations</w:t>
      </w:r>
    </w:p>
    <w:p>
      <w:pPr>
        <w:pStyle w:val="SourceCode"/>
      </w:pPr>
      <w:r>
        <w:rPr>
          <w:rStyle w:val="FunctionTok"/>
        </w:rPr>
        <w:t xml:space="preserve">plot_dataset_preview</w:t>
      </w:r>
      <w:r>
        <w:rPr>
          <w:rStyle w:val="NormalTok"/>
        </w:rPr>
        <w:t xml:space="preserve">(oil_type_8_info)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/home/gpca/harbinger/examples/data/doc/05-domain-oil_3w_files/figure-docx/unnamed-chunk-15-1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2"/>
    <w:bookmarkEnd w:id="53"/>
    <w:bookmarkStart w:id="55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2"/>
        </w:numPr>
      </w:pPr>
      <w:r>
        <w:t xml:space="preserve">3W dataset documentation from the UCI Machine Learning Repository.</w:t>
      </w:r>
    </w:p>
    <w:p>
      <w:pPr>
        <w:pStyle w:val="Compact"/>
        <w:numPr>
          <w:ilvl w:val="0"/>
          <w:numId w:val="1002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54">
        <w:r>
          <w:rPr>
            <w:rStyle w:val="Hyperlink"/>
          </w:rPr>
          <w:t xml:space="preserve">doi:10.1007/978-3-031-75941-3</w:t>
        </w:r>
      </w:hyperlink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hyperlink" Id="rId54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4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2026-03-13T00:10:49Z</dcterms:created>
  <dcterms:modified xsi:type="dcterms:W3CDTF">2026-03-13T00:10:49Z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