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why understanding the dataset comes before choosing a detector. The goal is to inspect a full benchmark collection, count how many series it provides, determine whether the data are univariate or multivariate, and plot the first available signal.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Harbinger exposes benchmark datasets through packaged objects and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. Before modeling, it is useful to know the size of the collection, the shape of each series, and which signal column should be visualized first.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packaged benchmark object</w:t>
      </w:r>
    </w:p>
    <w:p>
      <w:pPr>
        <w:pStyle w:val="Compact"/>
        <w:numPr>
          <w:ilvl w:val="0"/>
          <w:numId w:val="1001"/>
        </w:numPr>
      </w:pPr>
      <w:r>
        <w:t xml:space="preserve">replace the mini object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the available series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the first signal using</w:t>
      </w:r>
      <w:r>
        <w:t xml:space="preserve"> </w:t>
      </w:r>
      <w:r>
        <w:rPr>
          <w:rStyle w:val="VerbatimChar"/>
        </w:rPr>
        <w:t xml:space="preserve">har_plot()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1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5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CommentTok"/>
        </w:rPr>
        <w:t xml:space="preserve"># Helper to summarize the dataset structure in a consistent way</w:t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repare-the-example-1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Load a benchmark object and expand it to the full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bookmarkEnd w:id="26"/>
    <w:bookmarkStart w:id="30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first available signal with its labels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2026-03-13T00:11:52Z</dcterms:created>
  <dcterms:modified xsi:type="dcterms:W3CDTF">2026-03-13T00:11:52Z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