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demonstrates how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 </w:t>
      </w:r>
      <w:r>
        <w:t xml:space="preserve">helps inspect time series before and after detection. The goal is to show how plotting supports interpretation in both univariate and multivariate settings.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Visualization is part of the analysis workflow in Harbinger. A quick plot can reveal trends, level shifts, bursts, repeated patterns, and labeled events before a detector is even configured.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plot a univariate anomaly series with labels</w:t>
      </w:r>
    </w:p>
    <w:p>
      <w:pPr>
        <w:pStyle w:val="Compact"/>
        <w:numPr>
          <w:ilvl w:val="0"/>
          <w:numId w:val="1001"/>
        </w:numPr>
      </w:pPr>
      <w:r>
        <w:t xml:space="preserve">plot a multivariate dataset by selecting one signal column</w:t>
      </w:r>
    </w:p>
    <w:p>
      <w:pPr>
        <w:pStyle w:val="Compact"/>
        <w:numPr>
          <w:ilvl w:val="0"/>
          <w:numId w:val="1001"/>
        </w:numPr>
      </w:pPr>
      <w:r>
        <w:t xml:space="preserve">compare how the same plotting interface works in both cases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4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Univariate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prepare-the-example-1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Multivariate example from the 3W benchmark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Plot only the first signal column of the multivariate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5">
        <w:r>
          <w:rPr>
            <w:rStyle w:val="Hyperlink"/>
          </w:rPr>
          <w:t xml:space="preserve">doi:10.1007/978-3-031-75941-3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hyperlink" Id="rId3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2026-03-13T00:11:53Z</dcterms:created>
  <dcterms:modified xsi:type="dcterms:W3CDTF">2026-03-13T00:11:53Z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