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closes the guided path with repeated-pattern and rare-pattern analysis. The goal is to show that Harbinger is not limited to anomaly or change-point detection: it also supports motif discovery and symbolic pattern analysis.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Motifs are repeated subsequences, while discords are unusual subsequences. In this first contact, we use a motif example series and run a symbolic motif-oriented method so the reader can connect the earlier transformation tutorials with downstream sequence analysis.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</w:t>
      </w:r>
    </w:p>
    <w:p>
      <w:pPr>
        <w:pStyle w:val="Compact"/>
        <w:numPr>
          <w:ilvl w:val="0"/>
          <w:numId w:val="1001"/>
        </w:numPr>
      </w:pPr>
      <w:r>
        <w:t xml:space="preserve">run a symbolic motif method</w:t>
      </w:r>
    </w:p>
    <w:p>
      <w:pPr>
        <w:pStyle w:val="Compact"/>
        <w:numPr>
          <w:ilvl w:val="0"/>
          <w:numId w:val="1001"/>
        </w:numPr>
      </w:pPr>
      <w:r>
        <w:t xml:space="preserve">inspect the detected subsequences</w:t>
      </w:r>
    </w:p>
    <w:p>
      <w:pPr>
        <w:pStyle w:val="Compact"/>
        <w:numPr>
          <w:ilvl w:val="0"/>
          <w:numId w:val="1001"/>
        </w:numPr>
      </w:pPr>
      <w:r>
        <w:t xml:space="preserve">plot the result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4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Configure a symbolic motif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Plot the motif-oriented result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5">
        <w:r>
          <w:rPr>
            <w:rStyle w:val="Hyperlink"/>
          </w:rPr>
          <w:t xml:space="preserve">doi:10.1007/978-3-031-75941-3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hyperlink" Id="rId3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2026-03-13T00:11:59Z</dcterms:created>
  <dcterms:modified xsi:type="dcterms:W3CDTF">2026-03-13T00:11:59Z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