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convolutional autoencoder (</w:t>
      </w:r>
      <w:r>
        <w:rPr>
          <w:rStyle w:val="VerbatimChar"/>
        </w:rPr>
        <w:t xml:space="preserve">han_autoencoder(..., autoenc_conv_ed, ...)</w:t>
      </w:r>
      <w:r>
        <w:t xml:space="preserve">). The model reconstructs windows via Conv1D layers;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Convolutional autoencoder (encode-decode): A convolutional autoencoder reconstructs windows via Conv1D layers; high reconstruction error indicates anomalies. Convolutions capture local patterns and translation invariance;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. The semantic point is the one stated above: convolutional autoencoder (encode-decode): A convolutional autoencoder reconstructs windows via Conv1D layers; high reconstruction error indicates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convolutional autoencoder (encode-decode): A convolutional autoencoder reconstructs windows via Conv1D layers; high reconstruction error indicates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convolutional autoencoder (encode-decode): A convolutional autoencoder reconstructs windows via Conv1D layers; high reconstruction error indicates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convolutional autoencoder-based detector (autoenc_conv_ed)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autoenc_conv_ed,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autoenc_conv_ed,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58277a5e1a2f35161ed1d6a218120a8083a078a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2-autoencoder-han_autoenc_conv_ed_files/78ddcf531f70908f5d6cc1cbec3e62ecddabed9f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2026-05-12T18:04:04Z</dcterms:created>
  <dcterms:modified xsi:type="dcterms:W3CDTF">2026-05-12T18:04:04Z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