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structural tests, local-window methods, adaptive Waypoint models, Bayesian online monitoring, ensembles, and univariate drift detectors.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5" w:name="adaptive-waypoint-models"/>
    <w:p>
      <w:pPr>
        <w:pStyle w:val="Heading2"/>
      </w:pPr>
      <w:r>
        <w:t xml:space="preserve">Adaptive Waypoint Models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bookmarkEnd w:id="25"/>
    <w:bookmarkStart w:id="27" w:name="bayesian-online-monitoring"/>
    <w:p>
      <w:pPr>
        <w:pStyle w:val="Heading2"/>
      </w:pPr>
      <w:r>
        <w:t xml:space="preserve">Bayesian Online Monitoring</w:t>
      </w:r>
    </w:p>
    <w:p>
      <w:pPr>
        <w:pStyle w:val="Compact"/>
        <w:numPr>
          <w:ilvl w:val="0"/>
          <w:numId w:val="1005"/>
        </w:numPr>
      </w:pPr>
      <w:hyperlink r:id="rId26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7"/>
    <w:bookmarkStart w:id="30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30"/>
    <w:bookmarkStart w:id="33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3"/>
    <w:bookmarkStart w:id="35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2026-05-12T18:06:55Z</dcterms:created>
  <dcterms:modified xsi:type="dcterms:W3CDTF">2026-05-12T18:06:55Z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