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7.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26-classification-hanc_ml_svm</w:t>
      </w:r>
      <w:r>
        <w:t xml:space="preserve">. The semantic point is the one stated above: sVM classification anomaly detector: Supervised anomaly detection with an SVM classifier trained on labeled events; positive-class probabilities above a threshold correspond to detected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classification anomaly detector: Supervised anomaly detection with an SVM classifier trained on labeled events; positive-class probabilities above a threshold correspond to detected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6-classification-hanc_ml_svm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classification anomaly detector: Supervised anomaly detection with an SVM classifier trained on labeled events; positive-class probabilities above a threshold correspond to detected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6-classification-hanc_ml_svm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26-classification-hanc_ml_svm</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6-classification-hanc_ml_svm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6-classification-hanc_ml_svm_files/303acb46e56e5a75134809dc0c423a2d61ca3237.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2026-05-11T19:33:00Z</dcterms:created>
  <dcterms:modified xsi:type="dcterms:W3CDTF">2026-05-11T19:33:00Z</dcterms:modified>
</cp:coreProperties>
</file>

<file path=docProps/custom.xml><?xml version="1.0" encoding="utf-8"?>
<Properties xmlns="http://schemas.openxmlformats.org/officeDocument/2006/custom-properties" xmlns:vt="http://schemas.openxmlformats.org/officeDocument/2006/docPropsVTypes"/>
</file>