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an adversarial autoencoder (</w:t>
      </w:r>
      <w:r>
        <w:rPr>
          <w:rStyle w:val="VerbatimChar"/>
        </w:rPr>
        <w:t xml:space="preserve">han_autoencoder(..., autoenc_adv_ed, ...)</w:t>
      </w:r>
      <w:r>
        <w:t xml:space="preserve">). The model learns a robust latent representation; anomalies yield higher reconstruction error.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adversarial autoencoder-based detector (autoenc_adv_ed)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autoenc_adv_ed,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19  TRUE anomaly</w:t>
      </w:r>
      <w:r>
        <w:br/>
      </w:r>
      <w:r>
        <w:rPr>
          <w:rStyle w:val="VerbatimChar"/>
        </w:rPr>
        <w:t xml:space="preserve">## 2  44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2025-10-28T18:30:49Z</dcterms:created>
  <dcterms:modified xsi:type="dcterms:W3CDTF">2025-10-28T18:30:49Z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