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with an LSTM autoencoder (</w:t>
      </w:r>
      <w:r>
        <w:rPr>
          <w:rStyle w:val="VerbatimChar"/>
        </w:rPr>
        <w:t xml:space="preserve">han_autoencoder(..., autoenc_lstm_ed, ...)</w:t>
      </w:r>
      <w:r>
        <w:t xml:space="preserve">). The model encodes and decodes sequences; high reconstruction error flags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lstm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LSTM autoencoder-based detector (autoenc_lstm_ed)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autoenc_lstm_ed,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51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lstm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the residuals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lstm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2025-10-28T18:32:05Z</dcterms:created>
  <dcterms:modified xsi:type="dcterms:W3CDTF">2025-10-28T18:32:05Z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