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AMOC CUSUM regression anomaly detection: This hybrid detector computes the FFT and transforms the power spectrum with CUSUM to emphasize gradual spectral shifts. AMOC selects a single changepoint that serves as a frequency cutoff. Components below the cutoff are removed, the inverse FFT reconstructs a high-pass signal, and residual magnitudes are thresholded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 hybrid residual-based anomaly detector combining FFT preprocessing, AMOC (At Most One Change) modeling, and CUSUM scoring via</w:t>
      </w:r>
      <w:r>
        <w:t xml:space="preserve"> </w:t>
      </w:r>
      <w:r>
        <w:rPr>
          <w:rStyle w:val="VerbatimChar"/>
        </w:rPr>
        <w:t xml:space="preserve">hanr_fft_amoc_cusum()</w:t>
      </w:r>
      <w:r>
        <w:t xml:space="preserve">. The pipeline models dominant frequencies, captures a single change, and accumulates deviations to flag anomalies. Steps: load packages/data, visualize, define and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FFT + AMOC + CUSUM detector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hanr_fft_amoc_cusum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cusu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2025-10-29T17:37:57Z</dcterms:created>
  <dcterms:modified xsi:type="dcterms:W3CDTF">2025-10-29T17:37:57Z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