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REMD regression anomaly detection: REMD combines Empirical Mode Decomposition with ARIMA modeling: IMFs capture nonstationary structure and ARIMA models residual dynamics. Large residual magnitudes signal anomalies and are thresholded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REMD combines EMD-based decomposition with ARIMA modeling on the high-frequency component to detect anomalies.</w:t>
      </w:r>
    </w:p>
    <w:p>
      <w:pPr>
        <w:pStyle w:val="BodyText"/>
      </w:pPr>
      <w:r>
        <w:t xml:space="preserve">In this tutorial we:</w:t>
      </w:r>
      <w:r>
        <w:t xml:space="preserve"> </w:t>
      </w:r>
      <w:r>
        <w:t xml:space="preserve">- Load and visualize a simple anomaly dataset</w:t>
      </w:r>
      <w:r>
        <w:t xml:space="preserve"> </w:t>
      </w:r>
      <w:r>
        <w:t xml:space="preserve">- Configure and run the REMD detector (</w:t>
      </w:r>
      <w:r>
        <w:rPr>
          <w:rStyle w:val="VerbatimChar"/>
        </w:rPr>
        <w:t xml:space="preserve">hanr_remd</w:t>
      </w:r>
      <w:r>
        <w:t xml:space="preserve">)</w:t>
      </w:r>
      <w:r>
        <w:t xml:space="preserve"> </w:t>
      </w:r>
      <w:r>
        <w:t xml:space="preserve">- Inspect detections, evaluate, and plot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em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REMD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hanr_remd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  <w:r>
        <w:br/>
      </w:r>
      <w:r>
        <w:rPr>
          <w:rStyle w:val="VerbatimChar"/>
        </w:rPr>
        <w:t xml:space="preserve">## 2  54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1    </w:t>
      </w:r>
      <w:r>
        <w:br/>
      </w:r>
      <w:r>
        <w:rPr>
          <w:rStyle w:val="VerbatimChar"/>
        </w:rPr>
        <w:t xml:space="preserve">## FALSE     0     99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em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em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Souza, J., et al. REMD: A Novel Hybrid Anomaly Detection Method Based on EMD and ARIMA. IJCNN, 2024.</w:t>
      </w:r>
      <w:r>
        <w:t xml:space="preserve"> </w:t>
      </w:r>
      <w:hyperlink r:id="rId29">
        <w:r>
          <w:rPr>
            <w:rStyle w:val="Hyperlink"/>
          </w:rPr>
          <w:t xml:space="preserve">doi:10.1109/IJCNN60899.2024.10651192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109/IJCNN60899.2024.106511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109/IJCNN60899.2024.106511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2025-10-29T17:39:19Z</dcterms:created>
  <dcterms:modified xsi:type="dcterms:W3CDTF">2025-10-29T17:39:19Z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