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PCA-based regression anomaly detection: Projects multivariate observations onto principal components and reconstructs data; large reconstruction errors indicate anomalies. Data are standardized, PCA is fitted, and reconstruction errors are thresholded.</w:t>
      </w:r>
    </w:p>
    <w:p>
      <w:pPr>
        <w:pStyle w:val="BodyText"/>
      </w:pPr>
      <w:r>
        <w:t xml:space="preserve">The PCA-based detector flags large reconstruction errors when projecting multivariate data onto principal components.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 multivariate example and create synthetic event labels</w:t>
      </w:r>
    </w:p>
    <w:p>
      <w:pPr>
        <w:pStyle w:val="Compact"/>
        <w:numPr>
          <w:ilvl w:val="0"/>
          <w:numId w:val="1001"/>
        </w:numPr>
      </w:pPr>
      <w:r>
        <w:t xml:space="preserve">Fit the PCA detector on two dimensions</w:t>
      </w:r>
    </w:p>
    <w:p>
      <w:pPr>
        <w:pStyle w:val="Compact"/>
        <w:numPr>
          <w:ilvl w:val="0"/>
          <w:numId w:val="1001"/>
        </w:numPr>
      </w:pPr>
      <w:r>
        <w:t xml:space="preserve">Visualize detections over different series and inspect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Load a multivariate example and define event labels (for demo)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"examples_harbinger"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multidimensional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serie           x event</w:t>
      </w:r>
      <w:r>
        <w:br/>
      </w:r>
      <w:r>
        <w:rPr>
          <w:rStyle w:val="VerbatimChar"/>
        </w:rPr>
        <w:t xml:space="preserve">## 1 -0.6264538  0.40940184 FALSE</w:t>
      </w:r>
      <w:r>
        <w:br/>
      </w:r>
      <w:r>
        <w:rPr>
          <w:rStyle w:val="VerbatimChar"/>
        </w:rPr>
        <w:t xml:space="preserve">## 2 -0.8356286  1.58658843 FALSE</w:t>
      </w:r>
      <w:r>
        <w:br/>
      </w:r>
      <w:r>
        <w:rPr>
          <w:rStyle w:val="VerbatimChar"/>
        </w:rPr>
        <w:t xml:space="preserve">## 3  1.5952808 -0.33090780 FALSE</w:t>
      </w:r>
      <w:r>
        <w:br/>
      </w:r>
      <w:r>
        <w:rPr>
          <w:rStyle w:val="VerbatimChar"/>
        </w:rPr>
        <w:t xml:space="preserve">## 4  0.3295078 -2.28523554 FALSE</w:t>
      </w:r>
      <w:r>
        <w:br/>
      </w:r>
      <w:r>
        <w:rPr>
          <w:rStyle w:val="VerbatimChar"/>
        </w:rPr>
        <w:t xml:space="preserve">## 5 -0.8204684  2.49766159 FALSE</w:t>
      </w:r>
      <w:r>
        <w:br/>
      </w:r>
      <w:r>
        <w:rPr>
          <w:rStyle w:val="VerbatimChar"/>
        </w:rPr>
        <w:t xml:space="preserve">## 6  0.5757814 -0.01339952 FALSE</w:t>
      </w:r>
    </w:p>
    <w:p>
      <w:pPr>
        <w:pStyle w:val="SourceCode"/>
      </w:pPr>
      <w:r>
        <w:rPr>
          <w:rStyle w:val="CommentTok"/>
        </w:rPr>
        <w:t xml:space="preserve"># Plot the target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second dimension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PCA detector on the first two columns and run detection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hmu_pca</w:t>
      </w:r>
      <w:r>
        <w:rPr>
          <w:rStyle w:val="NormalTok"/>
        </w:rPr>
        <w:t xml:space="preserve">(), dataset[,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Plot detections on the target series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detections on the second dimension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Jolliffe, I. T. (2002). Principal Component Analysis.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2025-10-29T18:02:13Z</dcterms:created>
  <dcterms:modified xsi:type="dcterms:W3CDTF">2025-10-29T18:02:13Z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