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illustrates typical change-point scenarios (single break, multiple breaks, variance/volatility shifts) and how Harbinger visualizes detected change locations. We use the unified pipeline to fit, detect, and plot across datasets, highlighting when classic (AMOC/BinSeg/PELT) or regression-based (GFT/Chow) approaches are appropriate.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change-point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change point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Sinusoidal pattern with regime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sinusoidal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Incremental trend changes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incremental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Abrupt level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abrupt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Volatility (variance) change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Increasing amplitude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increasing_amplitude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Complex multi-regime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Hinkley, D. V. (1970). Inference about the change-point in a sequence of random variables. Biometrika, 57(1), 1–17.</w:t>
      </w:r>
    </w:p>
    <w:p>
      <w:pPr>
        <w:pStyle w:val="Compact"/>
        <w:numPr>
          <w:ilvl w:val="0"/>
          <w:numId w:val="1001"/>
        </w:numPr>
      </w:pPr>
      <w:r>
        <w:t xml:space="preserve">Killick, R., Fearnhead, P., Eckley, I. A. (2012). Optimal detection of changepoints with a linear computational cost. JASA, 107(500), 1590–1598.</w:t>
      </w:r>
    </w:p>
    <w:p>
      <w:pPr>
        <w:pStyle w:val="Compact"/>
        <w:numPr>
          <w:ilvl w:val="0"/>
          <w:numId w:val="1001"/>
        </w:numPr>
      </w:pPr>
      <w:r>
        <w:t xml:space="preserve">Zeileis, A., Leisch, F., Kleiber, C., Hornik, K. (2002). strucchange: An R package for testing for structural change in linear regression models. JSS, 7(2).</w:t>
      </w:r>
      <w:r>
        <w:t xml:space="preserve"> </w:t>
      </w:r>
      <w:hyperlink r:id="rId41">
        <w:r>
          <w:rPr>
            <w:rStyle w:val="Hyperlink"/>
          </w:rPr>
          <w:t xml:space="preserve">doi:10.18637/jss.v007.i02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41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2025-10-29T17:39:58Z</dcterms:created>
  <dcterms:modified xsi:type="dcterms:W3CDTF">2025-10-29T17:39:58Z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