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notebook demonstrates motif discovery datasets and visualization using Harbinger’s base plotting. We will iterate over multiple series and apply the base workflow: fit, detect, plot.</w:t>
      </w:r>
    </w:p>
    <w:p>
      <w:pPr>
        <w:pStyle w:val="SourceCode"/>
      </w:pPr>
      <w:r>
        <w:rPr>
          <w:rStyle w:val="CommentTok"/>
        </w:rPr>
        <w:t xml:space="preserve"># Install Harbinger (if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Load motif example datasets and create a base object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(examples_motifs)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CommentTok"/>
        </w:rPr>
        <w:t xml:space="preserve"># Simple synthetic motif dataset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examples_motifs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general/examples_motifs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ECG sample: MIT-BIH record 100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examples_motifs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mitdb100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general/examples_motifs_files/figure-docx/unnamed-chunk-5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ECG sample: MIT-BIH record 102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examples_motifs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mitdb102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/home/gpca/harbinger/examples-word/general/examples_motifs_files/figure-docx/unnamed-chunk-6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2025-10-28T18:36:38Z</dcterms:created>
  <dcterms:modified xsi:type="dcterms:W3CDTF">2025-10-28T18:36:38Z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