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hanr_remd</w:t>
      </w:r>
      <w:r>
        <w:t xml:space="preserve">. The semantic point is the one stated above: rEMD regression anomaly detection: REMD combines Empirical Mode Decomposition with ARIMA modeling: IMFs capture nonstationary structure and ARIMA models residual dynamics,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rEMD regression anomaly detection: REMD combines Empirical Mode Decomposition with ARIMA modeling: IMFs capture nonstationary structure and ARIMA models residual dynamics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2-regression-hanr_remd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rEMD regression anomaly detection: REMD combines Empirical Mode Decomposition with ARIMA modeling: IMFs capture nonstationary structure and ARIMA models residual dynamics, so each argument controls how strongly the method will emphasize that pattern when it later produces anomaly flags.</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2-regression-hanr_remd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2-regression-hanr_remd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38">
        <w:r>
          <w:rPr>
            <w:rStyle w:val="Hyperlink"/>
          </w:rPr>
          <w:t xml:space="preserve">doi:10.1109/IJCNN60899.2024.10651192</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38"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2026-03-13T01:57:45Z</dcterms:created>
  <dcterms:modified xsi:type="dcterms:W3CDTF">2026-03-13T01:57:45Z</dcterms:modified>
</cp:coreProperties>
</file>

<file path=docProps/custom.xml><?xml version="1.0" encoding="utf-8"?>
<Properties xmlns="http://schemas.openxmlformats.org/officeDocument/2006/custom-properties" xmlns:vt="http://schemas.openxmlformats.org/officeDocument/2006/docPropsVTypes"/>
</file>