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AMOC (At Most One Change) detects a single, most significant change point in a univariate time series.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synthetic dataset with ground-truth change points</w:t>
      </w:r>
    </w:p>
    <w:p>
      <w:pPr>
        <w:pStyle w:val="Compact"/>
        <w:numPr>
          <w:ilvl w:val="0"/>
          <w:numId w:val="1001"/>
        </w:numPr>
      </w:pPr>
      <w:r>
        <w:t xml:space="preserve">Visualize the series</w:t>
      </w:r>
    </w:p>
    <w:p>
      <w:pPr>
        <w:pStyle w:val="Compact"/>
        <w:numPr>
          <w:ilvl w:val="0"/>
          <w:numId w:val="1001"/>
        </w:numPr>
      </w:pPr>
      <w:r>
        <w:t xml:space="preserve">Configure and run the AMOC detector (</w:t>
      </w:r>
      <w:r>
        <w:rPr>
          <w:rStyle w:val="VerbatimChar"/>
        </w:rPr>
        <w:t xml:space="preserve">hcp_amoc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over the series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AMOC: AMOC targets a single most significant change point in a univariate series by optimizing a cost function over all possible change locations. It is appropriate when at most one structural break is expected. This wraps the AMOC method from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package.</w:t>
      </w:r>
    </w:p>
    <w:bookmarkEnd w:id="21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. The semantic point is the one stated above: aMOC: AMOC targets a single most significant change point in a univariate series by optimizing a cost function over all possible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aMOC: AMOC targets a single most significant change point in a univariate series by optimizing a cost function over all possible change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 changes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aMOC: AMOC targets a single most significant change point in a univariate series by optimizing a cost function over all possible change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AMOC change-point detector (single change)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full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1 389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the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29"/>
    <w:bookmarkStart w:id="33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 on top of the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Hinkley, D. V. (1970). Inference about the change-point in a sequence of random variables. Biometrika, 57(1), 1-17.</w:t>
      </w:r>
      <w:r>
        <w:t xml:space="preserve"> </w:t>
      </w:r>
      <w:hyperlink r:id="rId35">
        <w:r>
          <w:rPr>
            <w:rStyle w:val="Hyperlink"/>
          </w:rPr>
          <w:t xml:space="preserve">doi:10.1093/biomet/57.1.1</w:t>
        </w:r>
      </w:hyperlink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3" Target="media/rId23.png" /><Relationship Type="http://schemas.openxmlformats.org/officeDocument/2006/relationships/hyperlink" Id="rId35" Target="doi:10.1093/biomet/57.1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093/biomet/57.1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2026-03-13T02:00:23Z</dcterms:created>
  <dcterms:modified xsi:type="dcterms:W3CDTF">2026-03-13T02:00:23Z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