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introduces methods that search for structural changes rather than isolated anomalous points. The examples are organized from the simplest case, one dominant break, to richer segmentation and volatility-oriented strategies.</w:t>
      </w:r>
    </w:p>
    <w:p>
      <w:pPr>
        <w:pStyle w:val="BodyText"/>
      </w:pPr>
      <w:r>
        <w:t xml:space="preserve">The progression matters: AMOC is a good first notebook, while the later methods make more sense once the reader already understands what a labeled change point looks like in the plots. The groups below were arranged to move from intuition to more specialized analytical perspectives.</w:t>
      </w:r>
    </w:p>
    <w:bookmarkStart w:id="21" w:name="single-break"/>
    <w:p>
      <w:pPr>
        <w:pStyle w:val="Heading2"/>
      </w:pPr>
      <w:r>
        <w:t xml:space="preserve">Single Break</w:t>
      </w:r>
    </w:p>
    <w:p>
      <w:pPr>
        <w:pStyle w:val="FirstParagraph"/>
      </w:pPr>
      <w:r>
        <w:t xml:space="preserve">This is the best starting point because it teaches the core idea of regime transition with the least cognitive load.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first example for a single dominant change point.</w:t>
      </w:r>
    </w:p>
    <w:bookmarkEnd w:id="21"/>
    <w:bookmarkStart w:id="24" w:name="multiple-breaks"/>
    <w:p>
      <w:pPr>
        <w:pStyle w:val="Heading2"/>
      </w:pPr>
      <w:r>
        <w:t xml:space="preserve">Multiple Breaks</w:t>
      </w:r>
    </w:p>
    <w:p>
      <w:pPr>
        <w:pStyle w:val="FirstParagraph"/>
      </w:pPr>
      <w:r>
        <w:t xml:space="preserve">Once one break is clear, these examples show how the same reasoning extends to several structural changes in the same series.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 for multiple changes.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24"/>
    <w:bookmarkStart w:id="27" w:name="structural-tests"/>
    <w:p>
      <w:pPr>
        <w:pStyle w:val="Heading2"/>
      </w:pPr>
      <w:r>
        <w:t xml:space="preserve">Structural Tests</w:t>
      </w:r>
    </w:p>
    <w:p>
      <w:pPr>
        <w:pStyle w:val="FirstParagraph"/>
      </w:pPr>
      <w:r>
        <w:t xml:space="preserve">These notebooks are useful for readers who want to connect change-point detection with more classical statistical testing ideas.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structural break test.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tests and breakpoint estimation.</w:t>
      </w:r>
    </w:p>
    <w:bookmarkEnd w:id="27"/>
    <w:bookmarkStart w:id="31" w:name="changefinder-variants"/>
    <w:p>
      <w:pPr>
        <w:pStyle w:val="Heading2"/>
      </w:pPr>
      <w:r>
        <w:t xml:space="preserve">ChangeFinder Variants</w:t>
      </w:r>
    </w:p>
    <w:p>
      <w:pPr>
        <w:pStyle w:val="FirstParagraph"/>
      </w:pPr>
      <w:r>
        <w:t xml:space="preserve">After the classical methods, this group shows a family that scores changes through predictive surprise over time.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ChangeFinder with linear regression.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ChangeFinder with ARIMA.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ChangeFinder with ETS.</w:t>
      </w:r>
    </w:p>
    <w:bookmarkEnd w:id="31"/>
    <w:bookmarkStart w:id="34" w:name="volatility-and-local-windows"/>
    <w:p>
      <w:pPr>
        <w:pStyle w:val="Heading2"/>
      </w:pPr>
      <w:r>
        <w:t xml:space="preserve">Volatility and Local Windows</w:t>
      </w:r>
    </w:p>
    <w:p>
      <w:pPr>
        <w:pStyle w:val="FirstParagraph"/>
      </w:pPr>
      <w:r>
        <w:t xml:space="preserve">These are good final readings because they focus on more specific views of change, such as variance shifts or local window contrasts.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hcp_garch()</w:t>
      </w:r>
      <w:r>
        <w:t xml:space="preserve">: volatility shifts as structural changes.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hcp_scp()</w:t>
      </w:r>
      <w:r>
        <w:t xml:space="preserve">: local-window comparison around candidate changes.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2026-03-13T02:00:41Z</dcterms:created>
  <dcterms:modified xsi:type="dcterms:W3CDTF">2026-03-13T02:00:41Z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