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20"/>
    <w:bookmarkStart w:id="21"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hmo_mp("scrimp", ...)</w:t>
      </w:r>
      <w:r>
        <w:t xml:space="preserve">. The semantic point is the one stated above: sCRIMP motif discovery: Matrix Profile methods compute nearest-neighbor distances for subsequences,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sCRIMP motif discovery: Matrix Profile methods compute nearest-neighbor distances for subsequences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3-matrix-profile-hmo_mp_scrim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sCRIMP motif discovery: Matrix Profile methods compute nearest-neighbor distances for subsequences, so each argument controls how strongly the method will emphasize that pattern when it later produces motif candidates.</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hmo_mp("scrimp",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0.03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hmo_mp("scrimp",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3-matrix-profile-hmo_mp_scrim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2026-03-13T02:01:55Z</dcterms:created>
  <dcterms:modified xsi:type="dcterms:W3CDTF">2026-03-13T02:01:55Z</dcterms:modified>
</cp:coreProperties>
</file>

<file path=docProps/custom.xml><?xml version="1.0" encoding="utf-8"?>
<Properties xmlns="http://schemas.openxmlformats.org/officeDocument/2006/custom-properties" xmlns:vt="http://schemas.openxmlformats.org/officeDocument/2006/docPropsVTypes"/>
</file>