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an LSTM autoencoder (</w:t>
      </w:r>
      <w:r>
        <w:rPr>
          <w:rStyle w:val="VerbatimChar"/>
        </w:rPr>
        <w:t xml:space="preserve">han_autoencoder(..., autoenc_lstm_ed, ...)</w:t>
      </w:r>
      <w:r>
        <w:t xml:space="preserve">). The model encodes and decodes sequences; high reconstruction error flags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LSTM autoencoder (encode-decode): An LSTM autoencoder learns temporal dependencies by encoding and decoding sequences; large reconstruction error flags anomalies. The model optimizes sequence reconstruction and thresholds errors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. The semantic point is the one stated above: lSTM autoencoder (encode-decode): An LSTM autoencoder learns temporal dependencies by encoding and decoding sequences; large reconstruction error flags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lSTM autoencoder (encode-decode): An LSTM autoencoder learns temporal dependencies by encoding and decoding sequences; large reconstruction error flags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3-autoencoder-han_autoenc_lstm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lSTM autoencoder (encode-decode): An LSTM autoencoder learns temporal dependencies by encoding and decoding sequences; large reconstruction error flags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LSTM autoencoder-based detector (autoenc_lstm_ed)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autoenc_lstm_ed,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3-autoencoder-han_autoenc_lstm_ed_files/340145a6a24854a6c9b3bc33d675594d5fc00a7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3-autoencoder-han_autoenc_lstm_ed_files/f760a0dc072fd267d57d6a19c0d37e6b3f4c8c46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2026-05-20T22:55:35Z</dcterms:created>
  <dcterms:modified xsi:type="dcterms:W3CDTF">2026-05-20T22:55:35Z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