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2.png" ContentType="image/png"/>
  <Override PartName="/word/media/rId19.png" ContentType="image/png"/>
  <Override PartName="/word/media/rId2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" w:name="objective"/>
    <w:p>
      <w:pPr>
        <w:pStyle w:val="Heading2"/>
      </w:pPr>
      <w:r>
        <w:t xml:space="preserve">Objective</w:t>
      </w:r>
    </w:p>
    <w:p>
      <w:pPr>
        <w:pStyle w:val="FirstParagraph"/>
      </w:pPr>
      <w:r>
        <w:t xml:space="preserve">Seminal Change Point (SCP) compares regression fits with and without the central observation in sliding windows to highlight break locations. In this tutorial we:</w:t>
      </w:r>
    </w:p>
    <w:p>
      <w:pPr>
        <w:pStyle w:val="Compact"/>
        <w:numPr>
          <w:ilvl w:val="0"/>
          <w:numId w:val="1001"/>
        </w:numPr>
      </w:pPr>
      <w:r>
        <w:t xml:space="preserve">Load and visualize the same example change-point dataset used in the AMOC notebook</w:t>
      </w:r>
    </w:p>
    <w:p>
      <w:pPr>
        <w:pStyle w:val="Compact"/>
        <w:numPr>
          <w:ilvl w:val="0"/>
          <w:numId w:val="1001"/>
        </w:numPr>
      </w:pPr>
      <w:r>
        <w:t xml:space="preserve">Configure the SCP detector (</w:t>
      </w:r>
      <w:r>
        <w:rPr>
          <w:rStyle w:val="VerbatimChar"/>
        </w:rPr>
        <w:t xml:space="preserve">hcp_scp</w:t>
      </w:r>
      <w:r>
        <w:t xml:space="preserve">)</w:t>
      </w:r>
    </w:p>
    <w:p>
      <w:pPr>
        <w:pStyle w:val="Compact"/>
        <w:numPr>
          <w:ilvl w:val="0"/>
          <w:numId w:val="1001"/>
        </w:numPr>
      </w:pPr>
      <w:r>
        <w:t xml:space="preserve">Inspect detections, evaluate, and plot residual magnitude with thresholds</w:t>
      </w:r>
    </w:p>
    <w:bookmarkEnd w:id="9"/>
    <w:bookmarkStart w:id="10" w:name="method-at-a-glance"/>
    <w:p>
      <w:pPr>
        <w:pStyle w:val="Heading2"/>
      </w:pPr>
      <w:r>
        <w:t xml:space="preserve">Method at a glance</w:t>
      </w:r>
    </w:p>
    <w:p>
      <w:pPr>
        <w:pStyle w:val="FirstParagraph"/>
      </w:pPr>
      <w:r>
        <w:t xml:space="preserve">SCP: Seminal Change Point compares linear regression fits with and without the central observation in sliding windows; large deviations around a center indicate a change location.</w:t>
      </w:r>
    </w:p>
    <w:bookmarkEnd w:id="10"/>
    <w:bookmarkStart w:id="26" w:name="what-you-will-do"/>
    <w:p>
      <w:pPr>
        <w:pStyle w:val="Heading2"/>
      </w:pPr>
      <w:r>
        <w:t xml:space="preserve">What you will do</w:t>
      </w:r>
    </w:p>
    <w:p>
      <w:pPr>
        <w:pStyle w:val="Compact"/>
        <w:numPr>
          <w:ilvl w:val="0"/>
          <w:numId w:val="1002"/>
        </w:numPr>
      </w:pPr>
      <w:r>
        <w:t xml:space="preserve">understand the purpose of the example and when the technique is useful</w:t>
      </w:r>
    </w:p>
    <w:p>
      <w:pPr>
        <w:pStyle w:val="Compact"/>
        <w:numPr>
          <w:ilvl w:val="0"/>
          <w:numId w:val="1002"/>
        </w:numPr>
      </w:pPr>
      <w:r>
        <w:t xml:space="preserve">follow the workflow from data loading to model fitting and detection</w:t>
      </w:r>
    </w:p>
    <w:p>
      <w:pPr>
        <w:pStyle w:val="Compact"/>
        <w:numPr>
          <w:ilvl w:val="0"/>
          <w:numId w:val="1002"/>
        </w:numPr>
      </w:pPr>
      <w:r>
        <w:t xml:space="preserve">inspect the evaluation outputs and the diagnostic plots produced by Harbinger</w:t>
      </w:r>
    </w:p>
    <w:bookmarkStart w:id="11" w:name="prepare-the-example"/>
    <w:p>
      <w:pPr>
        <w:pStyle w:val="Heading3"/>
      </w:pPr>
      <w:r>
        <w:t xml:space="preserve">Prepare the Example</w:t>
      </w:r>
    </w:p>
    <w:p>
      <w:pPr>
        <w:pStyle w:val="FirstParagraph"/>
      </w:pPr>
      <w:r>
        <w:t xml:space="preserve">This setup anchors the notebook in the specific series used to examine</w:t>
      </w:r>
      <w:r>
        <w:t xml:space="preserve"> </w:t>
      </w:r>
      <w:r>
        <w:rPr>
          <w:rStyle w:val="VerbatimChar"/>
        </w:rPr>
        <w:t xml:space="preserve">hcp_scp</w:t>
      </w:r>
      <w:r>
        <w:t xml:space="preserve">. The semantic point is the one stated above: sCP: Seminal Change Point compares linear regression fits with and without the central observation in sliding windows; large deviations around a center indicate a change location, so the raw signal needs to be visible before any fitting step hides that structure behind model output.</w:t>
      </w:r>
    </w:p>
    <w:p>
      <w:pPr>
        <w:pStyle w:val="SourceCode"/>
      </w:pPr>
      <w:r>
        <w:rPr>
          <w:rStyle w:val="FunctionTok"/>
        </w:rPr>
        <w:t xml:space="preserve">source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url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"https://raw.githubusercontent.com/cefet-rj-dal/harbinger/master/examples/seed.R"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 Install Harbinger (if needed)</w:t>
      </w:r>
      <w:r>
        <w:br/>
      </w:r>
      <w:r>
        <w:rPr>
          <w:rStyle w:val="CommentTok"/>
        </w:rPr>
        <w:t xml:space="preserve">#install.packages("harbinger")</w:t>
      </w:r>
    </w:p>
    <w:p>
      <w:pPr>
        <w:pStyle w:val="SourceCode"/>
      </w:pPr>
      <w:r>
        <w:rPr>
          <w:rStyle w:val="CommentTok"/>
        </w:rPr>
        <w:t xml:space="preserve"># Load required packages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(daltoolbox)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(harbinger) </w:t>
      </w:r>
    </w:p>
    <w:p>
      <w:pPr>
        <w:pStyle w:val="SourceCode"/>
      </w:pPr>
      <w:r>
        <w:rPr>
          <w:rStyle w:val="CommentTok"/>
        </w:rPr>
        <w:t xml:space="preserve"># Load example change-point datasets</w:t>
      </w:r>
      <w:r>
        <w:br/>
      </w:r>
      <w:r>
        <w:rPr>
          <w:rStyle w:val="FunctionTok"/>
        </w:rPr>
        <w:t xml:space="preserve">data</w:t>
      </w:r>
      <w:r>
        <w:rPr>
          <w:rStyle w:val="NormalTok"/>
        </w:rPr>
        <w:t xml:space="preserve">(examples_changepoints)</w:t>
      </w:r>
    </w:p>
    <w:p>
      <w:pPr>
        <w:pStyle w:val="SourceCode"/>
      </w:pPr>
      <w:r>
        <w:rPr>
          <w:rStyle w:val="CommentTok"/>
        </w:rPr>
        <w:t xml:space="preserve"># Select the same dataset used in the AMOC example</w:t>
      </w:r>
      <w:r>
        <w:br/>
      </w:r>
      <w:r>
        <w:rPr>
          <w:rStyle w:val="NormalTok"/>
        </w:rPr>
        <w:t xml:space="preserve">dataset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examples_changepoints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complex</w:t>
      </w:r>
      <w:r>
        <w:br/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(dataset)</w:t>
      </w:r>
    </w:p>
    <w:p>
      <w:pPr>
        <w:pStyle w:val="SourceCode"/>
      </w:pPr>
      <w:r>
        <w:rPr>
          <w:rStyle w:val="VerbatimChar"/>
        </w:rPr>
        <w:t xml:space="preserve">##       serie event</w:t>
      </w:r>
      <w:r>
        <w:br/>
      </w:r>
      <w:r>
        <w:rPr>
          <w:rStyle w:val="VerbatimChar"/>
        </w:rPr>
        <w:t xml:space="preserve">## 1 0.3129618 FALSE</w:t>
      </w:r>
      <w:r>
        <w:br/>
      </w:r>
      <w:r>
        <w:rPr>
          <w:rStyle w:val="VerbatimChar"/>
        </w:rPr>
        <w:t xml:space="preserve">## 2 0.5944808 FALSE</w:t>
      </w:r>
      <w:r>
        <w:br/>
      </w:r>
      <w:r>
        <w:rPr>
          <w:rStyle w:val="VerbatimChar"/>
        </w:rPr>
        <w:t xml:space="preserve">## 3 0.8162731 FALSE</w:t>
      </w:r>
      <w:r>
        <w:br/>
      </w:r>
      <w:r>
        <w:rPr>
          <w:rStyle w:val="VerbatimChar"/>
        </w:rPr>
        <w:t xml:space="preserve">## 4 0.9560557 FALSE</w:t>
      </w:r>
      <w:r>
        <w:br/>
      </w:r>
      <w:r>
        <w:rPr>
          <w:rStyle w:val="VerbatimChar"/>
        </w:rPr>
        <w:t xml:space="preserve">## 5 0.9997847 FALSE</w:t>
      </w:r>
      <w:r>
        <w:br/>
      </w:r>
      <w:r>
        <w:rPr>
          <w:rStyle w:val="VerbatimChar"/>
        </w:rPr>
        <w:t xml:space="preserve">## 6 0.9430667 FALSE</w:t>
      </w:r>
    </w:p>
    <w:bookmarkEnd w:id="11"/>
    <w:bookmarkStart w:id="15" w:name="interpret-the-result-visually"/>
    <w:p>
      <w:pPr>
        <w:pStyle w:val="Heading3"/>
      </w:pPr>
      <w:r>
        <w:t xml:space="preserve">Interpret the Result Visually</w:t>
      </w:r>
    </w:p>
    <w:p>
      <w:pPr>
        <w:pStyle w:val="FirstParagraph"/>
      </w:pPr>
      <w:r>
        <w:t xml:space="preserve">This first visual pass establishes what the method should react to in the raw series. Keep the method summary in mind here, because sCP: Seminal Change Point compares linear regression fits with and without the central observation in sliding windows; large deviations around a center indicate a change location and the plot tells you whether that structure is clean, weak, local, repeated, or mixed with other effects.</w:t>
      </w:r>
    </w:p>
    <w:p>
      <w:pPr>
        <w:pStyle w:val="SourceCode"/>
      </w:pPr>
      <w:r>
        <w:rPr>
          <w:rStyle w:val="CommentTok"/>
        </w:rPr>
        <w:t xml:space="preserve"># Plot the raw time series</w:t>
      </w:r>
      <w:r>
        <w:br/>
      </w:r>
      <w:r>
        <w:rPr>
          <w:rStyle w:val="FunctionTok"/>
        </w:rPr>
        <w:t xml:space="preserve">har_plot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harbinger</w:t>
      </w:r>
      <w:r>
        <w:rPr>
          <w:rStyle w:val="NormalTok"/>
        </w:rPr>
        <w:t xml:space="preserve">(), dataset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serie)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13" name="Picture"/>
            <a:graphic>
              <a:graphicData uri="http://schemas.openxmlformats.org/drawingml/2006/picture">
                <pic:pic>
                  <pic:nvPicPr>
                    <pic:cNvPr descr="/home/gpca/harbinger/examples/change_point/doc/10-window-hcp_scp_files/2242cd390b7173162c79c5a854b5030be02a2ef2.png" id="14" name="Picture"/>
                    <pic:cNvPicPr>
                      <a:picLocks noChangeArrowheads="1"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5"/>
    <w:bookmarkStart w:id="16" w:name="configure-the-method"/>
    <w:p>
      <w:pPr>
        <w:pStyle w:val="Heading3"/>
      </w:pPr>
      <w:r>
        <w:t xml:space="preserve">Configure the Method</w:t>
      </w:r>
    </w:p>
    <w:p>
      <w:pPr>
        <w:pStyle w:val="FirstParagraph"/>
      </w:pPr>
      <w:r>
        <w:t xml:space="preserve">The choices below turn the central modeling idea into concrete parameters. They matter because sCP: Seminal Change Point compares linear regression fits with and without the central observation in sliding windows; large deviations around a center indicate a change location, so each argument controls how strongly the method will emphasize that pattern when it later produces change-point candidates.</w:t>
      </w:r>
    </w:p>
    <w:p>
      <w:pPr>
        <w:pStyle w:val="SourceCode"/>
      </w:pPr>
      <w:r>
        <w:rPr>
          <w:rStyle w:val="CommentTok"/>
        </w:rPr>
        <w:t xml:space="preserve"># Configure SCP (sw controls window; here 30)</w:t>
      </w:r>
      <w:r>
        <w:br/>
      </w:r>
      <w:r>
        <w:rPr>
          <w:rStyle w:val="NormalTok"/>
        </w:rPr>
        <w:t xml:space="preserve">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hcp_scp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sw=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CommentTok"/>
        </w:rPr>
        <w:t xml:space="preserve"># Fit the detector</w:t>
      </w:r>
      <w:r>
        <w:br/>
      </w:r>
      <w:r>
        <w:rPr>
          <w:rStyle w:val="FunctionTok"/>
        </w:rPr>
        <w:t xml:space="preserve">set_example_seed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</w:t>
      </w:r>
      <w:r>
        <w:rPr>
          <w:rStyle w:val="NormalTok"/>
        </w:rPr>
        <w:t xml:space="preserve">(model, dataset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serie)</w:t>
      </w:r>
    </w:p>
    <w:bookmarkEnd w:id="16"/>
    <w:bookmarkStart w:id="17" w:name="run-the-core-analysis"/>
    <w:p>
      <w:pPr>
        <w:pStyle w:val="Heading3"/>
      </w:pPr>
      <w:r>
        <w:t xml:space="preserve">Run the Core Analysis</w:t>
      </w:r>
    </w:p>
    <w:p>
      <w:pPr>
        <w:pStyle w:val="FirstParagraph"/>
      </w:pPr>
      <w:r>
        <w:t xml:space="preserve">This is the moment where the notebook tests its central assumption on actual data. After applying</w:t>
      </w:r>
      <w:r>
        <w:t xml:space="preserve"> </w:t>
      </w:r>
      <w:r>
        <w:rPr>
          <w:rStyle w:val="VerbatimChar"/>
        </w:rPr>
        <w:t xml:space="preserve">hcp_scp</w:t>
      </w:r>
      <w:r>
        <w:t xml:space="preserve">, the important question is whether the resulting change-point candidates really correspond to the pattern implied by the method description above, rather than to arbitrary numerical variation.</w:t>
      </w:r>
    </w:p>
    <w:p>
      <w:pPr>
        <w:pStyle w:val="SourceCode"/>
      </w:pPr>
      <w:r>
        <w:rPr>
          <w:rStyle w:val="CommentTok"/>
        </w:rPr>
        <w:t xml:space="preserve"># Run detection</w:t>
      </w:r>
      <w:r>
        <w:br/>
      </w:r>
      <w:r>
        <w:rPr>
          <w:rStyle w:val="NormalTok"/>
        </w:rPr>
        <w:t xml:space="preserve">detection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detect</w:t>
      </w:r>
      <w:r>
        <w:rPr>
          <w:rStyle w:val="NormalTok"/>
        </w:rPr>
        <w:t xml:space="preserve">(model, dataset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serie)</w:t>
      </w:r>
    </w:p>
    <w:p>
      <w:pPr>
        <w:pStyle w:val="SourceCode"/>
      </w:pPr>
      <w:r>
        <w:rPr>
          <w:rStyle w:val="CommentTok"/>
        </w:rPr>
        <w:t xml:space="preserve"># Show detected change points</w:t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(detection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(event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</w:t>
      </w:r>
    </w:p>
    <w:p>
      <w:pPr>
        <w:pStyle w:val="SourceCode"/>
      </w:pPr>
      <w:r>
        <w:rPr>
          <w:rStyle w:val="VerbatimChar"/>
        </w:rPr>
        <w:t xml:space="preserve">##   idx event        type</w:t>
      </w:r>
      <w:r>
        <w:br/>
      </w:r>
      <w:r>
        <w:rPr>
          <w:rStyle w:val="VerbatimChar"/>
        </w:rPr>
        <w:t xml:space="preserve">## 1 112  TRUE changepoint</w:t>
      </w:r>
      <w:r>
        <w:br/>
      </w:r>
      <w:r>
        <w:rPr>
          <w:rStyle w:val="VerbatimChar"/>
        </w:rPr>
        <w:t xml:space="preserve">## 2 121  TRUE changepoint</w:t>
      </w:r>
      <w:r>
        <w:br/>
      </w:r>
      <w:r>
        <w:rPr>
          <w:rStyle w:val="VerbatimChar"/>
        </w:rPr>
        <w:t xml:space="preserve">## 3 131  TRUE changepoint</w:t>
      </w:r>
      <w:r>
        <w:br/>
      </w:r>
      <w:r>
        <w:rPr>
          <w:rStyle w:val="VerbatimChar"/>
        </w:rPr>
        <w:t xml:space="preserve">## 4 140  TRUE changepoint</w:t>
      </w:r>
      <w:r>
        <w:br/>
      </w:r>
      <w:r>
        <w:rPr>
          <w:rStyle w:val="VerbatimChar"/>
        </w:rPr>
        <w:t xml:space="preserve">## 5 150  TRUE changepoint</w:t>
      </w:r>
      <w:r>
        <w:br/>
      </w:r>
      <w:r>
        <w:rPr>
          <w:rStyle w:val="VerbatimChar"/>
        </w:rPr>
        <w:t xml:space="preserve">## 6 160  TRUE changepoint</w:t>
      </w:r>
      <w:r>
        <w:br/>
      </w:r>
      <w:r>
        <w:rPr>
          <w:rStyle w:val="VerbatimChar"/>
        </w:rPr>
        <w:t xml:space="preserve">## 7 170  TRUE changepoint</w:t>
      </w:r>
      <w:r>
        <w:br/>
      </w:r>
      <w:r>
        <w:rPr>
          <w:rStyle w:val="VerbatimChar"/>
        </w:rPr>
        <w:t xml:space="preserve">## 8 180  TRUE changepoint</w:t>
      </w:r>
      <w:r>
        <w:br/>
      </w:r>
      <w:r>
        <w:rPr>
          <w:rStyle w:val="VerbatimChar"/>
        </w:rPr>
        <w:t xml:space="preserve">## 9 193  TRUE changepoint</w:t>
      </w:r>
    </w:p>
    <w:bookmarkEnd w:id="17"/>
    <w:bookmarkStart w:id="18" w:name="evaluate-what-was-found"/>
    <w:p>
      <w:pPr>
        <w:pStyle w:val="Heading3"/>
      </w:pPr>
      <w:r>
        <w:t xml:space="preserve">Evaluate What Was Found</w:t>
      </w:r>
    </w:p>
    <w:p>
      <w:pPr>
        <w:pStyle w:val="FirstParagraph"/>
      </w:pPr>
      <w:r>
        <w:t xml:space="preserve">The evaluation asks whether the change-point candidates produced by</w:t>
      </w:r>
      <w:r>
        <w:t xml:space="preserve"> </w:t>
      </w:r>
      <w:r>
        <w:rPr>
          <w:rStyle w:val="VerbatimChar"/>
        </w:rPr>
        <w:t xml:space="preserve">hcp_scp</w:t>
      </w:r>
      <w:r>
        <w:t xml:space="preserve"> </w:t>
      </w:r>
      <w:r>
        <w:t xml:space="preserve">match the labeled structure on this dataset. Read the scores as evidence about the method’s assumptions in practice, not as detached summary numbers.</w:t>
      </w:r>
    </w:p>
    <w:p>
      <w:pPr>
        <w:pStyle w:val="SourceCode"/>
      </w:pPr>
      <w:r>
        <w:rPr>
          <w:rStyle w:val="CommentTok"/>
        </w:rPr>
        <w:t xml:space="preserve"># Evaluate detections against labels</w:t>
      </w:r>
      <w:r>
        <w:br/>
      </w:r>
      <w:r>
        <w:rPr>
          <w:rStyle w:val="NormalTok"/>
        </w:rPr>
        <w:t xml:space="preserve">evaluation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evaluate</w:t>
      </w:r>
      <w:r>
        <w:rPr>
          <w:rStyle w:val="NormalTok"/>
        </w:rPr>
        <w:t xml:space="preserve">(model, detection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event, dataset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event)</w:t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(evaluation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confMatrix)</w:t>
      </w:r>
    </w:p>
    <w:p>
      <w:pPr>
        <w:pStyle w:val="SourceCode"/>
      </w:pPr>
      <w:r>
        <w:rPr>
          <w:rStyle w:val="VerbatimChar"/>
        </w:rPr>
        <w:t xml:space="preserve">##           event      </w:t>
      </w:r>
      <w:r>
        <w:br/>
      </w:r>
      <w:r>
        <w:rPr>
          <w:rStyle w:val="VerbatimChar"/>
        </w:rPr>
        <w:t xml:space="preserve">## detection TRUE  FALSE</w:t>
      </w:r>
      <w:r>
        <w:br/>
      </w:r>
      <w:r>
        <w:rPr>
          <w:rStyle w:val="VerbatimChar"/>
        </w:rPr>
        <w:t xml:space="preserve">## TRUE      0     9    </w:t>
      </w:r>
      <w:r>
        <w:br/>
      </w:r>
      <w:r>
        <w:rPr>
          <w:rStyle w:val="VerbatimChar"/>
        </w:rPr>
        <w:t xml:space="preserve">## FALSE     4     487</w:t>
      </w:r>
    </w:p>
    <w:bookmarkEnd w:id="18"/>
    <w:bookmarkStart w:id="25" w:name="interpret-the-result-visually-1"/>
    <w:p>
      <w:pPr>
        <w:pStyle w:val="Heading3"/>
      </w:pPr>
      <w:r>
        <w:t xml:space="preserve">Interpret the Result Visually</w:t>
      </w:r>
    </w:p>
    <w:p>
      <w:pPr>
        <w:pStyle w:val="FirstParagraph"/>
      </w:pPr>
      <w:r>
        <w:t xml:space="preserve">This visual check puts the model output back on top of the original signal. What matters now is whether the highlighted change-point candidates line up with the structure suggested by the method, which is the real semantic test of whether the example is teaching the right lesson.</w:t>
      </w:r>
    </w:p>
    <w:p>
      <w:pPr>
        <w:pStyle w:val="SourceCode"/>
      </w:pPr>
      <w:r>
        <w:rPr>
          <w:rStyle w:val="CommentTok"/>
        </w:rPr>
        <w:t xml:space="preserve"># Plot detections vs. ground truth</w:t>
      </w:r>
      <w:r>
        <w:br/>
      </w:r>
      <w:r>
        <w:rPr>
          <w:rStyle w:val="FunctionTok"/>
        </w:rPr>
        <w:t xml:space="preserve">har_plot</w:t>
      </w:r>
      <w:r>
        <w:rPr>
          <w:rStyle w:val="NormalTok"/>
        </w:rPr>
        <w:t xml:space="preserve">(model, dataset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serie, detection, dataset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event)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20" name="Picture"/>
            <a:graphic>
              <a:graphicData uri="http://schemas.openxmlformats.org/drawingml/2006/picture">
                <pic:pic>
                  <pic:nvPicPr>
                    <pic:cNvPr descr="/home/gpca/harbinger/examples/change_point/doc/10-window-hcp_scp_files/99a4bb71c4f0daf33b315c4cef93ab8aa4f35ab7.png" id="21" name="Picture"/>
                    <pic:cNvPicPr>
                      <a:picLocks noChangeArrowheads="1"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CommentTok"/>
        </w:rPr>
        <w:t xml:space="preserve"># Plot residual magnitude and decision thresholds</w:t>
      </w:r>
      <w:r>
        <w:br/>
      </w:r>
      <w:r>
        <w:rPr>
          <w:rStyle w:val="FunctionTok"/>
        </w:rPr>
        <w:t xml:space="preserve">har_plot</w:t>
      </w:r>
      <w:r>
        <w:rPr>
          <w:rStyle w:val="NormalTok"/>
        </w:rPr>
        <w:t xml:space="preserve">(model, </w:t>
      </w:r>
      <w:r>
        <w:rPr>
          <w:rStyle w:val="FunctionTok"/>
        </w:rPr>
        <w:t xml:space="preserve">attr</w:t>
      </w:r>
      <w:r>
        <w:rPr>
          <w:rStyle w:val="NormalTok"/>
        </w:rPr>
        <w:t xml:space="preserve">(detection, </w:t>
      </w:r>
      <w:r>
        <w:rPr>
          <w:rStyle w:val="StringTok"/>
        </w:rPr>
        <w:t xml:space="preserve">"res"</w:t>
      </w:r>
      <w:r>
        <w:rPr>
          <w:rStyle w:val="NormalTok"/>
        </w:rPr>
        <w:t xml:space="preserve">), detection, dataset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event, </w:t>
      </w:r>
      <w:r>
        <w:rPr>
          <w:rStyle w:val="AttributeTok"/>
        </w:rPr>
        <w:t xml:space="preserve">yline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attr</w:t>
      </w:r>
      <w:r>
        <w:rPr>
          <w:rStyle w:val="NormalTok"/>
        </w:rPr>
        <w:t xml:space="preserve">(detection, </w:t>
      </w:r>
      <w:r>
        <w:rPr>
          <w:rStyle w:val="StringTok"/>
        </w:rPr>
        <w:t xml:space="preserve">"threshold"</w:t>
      </w:r>
      <w:r>
        <w:rPr>
          <w:rStyle w:val="NormalTok"/>
        </w:rPr>
        <w:t xml:space="preserve">))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23" name="Picture"/>
            <a:graphic>
              <a:graphicData uri="http://schemas.openxmlformats.org/drawingml/2006/picture">
                <pic:pic>
                  <pic:nvPicPr>
                    <pic:cNvPr descr="/home/gpca/harbinger/examples/change_point/doc/10-window-hcp_scp_files/c8032a9a6b09abf56668369e78eeae3a3b7b6ad2.pn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25"/>
    <w:bookmarkEnd w:id="26"/>
    <w:bookmarkStart w:id="28" w:name="references"/>
    <w:p>
      <w:pPr>
        <w:pStyle w:val="Heading2"/>
      </w:pPr>
      <w:r>
        <w:t xml:space="preserve">References</w:t>
      </w:r>
    </w:p>
    <w:p>
      <w:pPr>
        <w:pStyle w:val="Compact"/>
        <w:numPr>
          <w:ilvl w:val="0"/>
          <w:numId w:val="1003"/>
        </w:numPr>
      </w:pPr>
      <w:r>
        <w:t xml:space="preserve">Ogasawara, E., Salles, R., Porto, F., Pacitti, E. Event Detection in Time Series. Springer, 2025.</w:t>
      </w:r>
      <w:r>
        <w:t xml:space="preserve"> </w:t>
      </w:r>
      <w:hyperlink r:id="rId27">
        <w:r>
          <w:rPr>
            <w:rStyle w:val="Hyperlink"/>
          </w:rPr>
          <w:t xml:space="preserve">doi:10.1007/978-3-031-75941-3</w:t>
        </w:r>
      </w:hyperlink>
    </w:p>
    <w:bookmarkEnd w:id="2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2" Target="media/rId12.png" /><Relationship Type="http://schemas.openxmlformats.org/officeDocument/2006/relationships/image" Id="rId19" Target="media/rId19.png" /><Relationship Type="http://schemas.openxmlformats.org/officeDocument/2006/relationships/image" Id="rId22" Target="media/rId22.png" /><Relationship Type="http://schemas.openxmlformats.org/officeDocument/2006/relationships/hyperlink" Id="rId27" Target="doi:10.1007/978-3-031-75941-3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7" Target="doi:10.1007/978-3-031-75941-3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2026-05-20T22:56:23Z</dcterms:created>
  <dcterms:modified xsi:type="dcterms:W3CDTF">2026-05-20T22:56:23Z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