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structural tests, local-window methods, adaptive Waypoint models, Bayesian online monitoring, ensembles, and univariate drift detectors.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5" w:name="adaptive-waypoint-models"/>
    <w:p>
      <w:pPr>
        <w:pStyle w:val="Heading2"/>
      </w:pPr>
      <w:r>
        <w:t xml:space="preserve">Adaptive Waypoint Models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bookmarkEnd w:id="25"/>
    <w:bookmarkStart w:id="27" w:name="bayesian-online-monitoring"/>
    <w:p>
      <w:pPr>
        <w:pStyle w:val="Heading2"/>
      </w:pPr>
      <w:r>
        <w:t xml:space="preserve">Bayesian Online Monitoring</w:t>
      </w:r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7"/>
    <w:bookmarkStart w:id="30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30"/>
    <w:bookmarkStart w:id="33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3"/>
    <w:bookmarkStart w:id="35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2026-05-20T22:58:29Z</dcterms:created>
  <dcterms:modified xsi:type="dcterms:W3CDTF">2026-05-20T22:58:29Z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