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1.png" ContentType="image/png"/>
  <Override PartName="/word/media/rId30.png" ContentType="image/png"/>
  <Override PartName="/word/media/rId18.png" ContentType="image/png"/>
  <Override PartName="/word/media/rId15.png" ContentType="image/png"/>
  <Override PartName="/word/media/rId1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notebook is to present a complete Harbinger workflow: loading an example dataset, configuring the method used in the notebook, running the analysis, and interpreting the resulting outputs and plots.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bookmarkEnd w:id="10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. The semantic point is the one stated above: this notebook illustrates typical change-point scenarios (single break, multiple breaks, variance/volatility shifts) and how Harbinger visualizes detected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bookmarkEnd w:id="11"/>
    <w:bookmarkStart w:id="33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this notebook illustrates typical change-point scenarios (single break, multiple breaks, variance/volatility shifts) and how Harbinger visualizes detected change locations, so each argument controls how strongly the method will emphasize that pattern when it later produces workflow outputs.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db1f9964476d93415215028ab31915b4222a28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b6d4115ce6699f8b8fc46737e1b01dd41cb52c1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e0fb30808114c955116a182eba968aa460675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7672b3fbfad664d7310404a984c86c6654ab3f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0170f544865302ba7e51b5332ce100fd19e63f4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fe95fb8e56c13f41cd2f6618bb0be8d40b9d364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general/doc/03-orientation-examples_changepoints_files/1ad495017cd195dd760142c37009ff7ff61ade0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Hinkley, D. V. (1970). Inference about the change-point in a sequence of random variables. Biometrika, 57(1), 1-17.</w:t>
      </w:r>
    </w:p>
    <w:p>
      <w:pPr>
        <w:pStyle w:val="Compact"/>
        <w:numPr>
          <w:ilvl w:val="0"/>
          <w:numId w:val="1002"/>
        </w:numPr>
      </w:pPr>
      <w:r>
        <w:t xml:space="preserve">Killick, R., Fearnhead, P., Eckley, I. A. (2012). Optimal detection of changepoints with a linear computational cost. JASA, 107(500), 1590-1598.</w:t>
      </w:r>
    </w:p>
    <w:p>
      <w:pPr>
        <w:pStyle w:val="Compact"/>
        <w:numPr>
          <w:ilvl w:val="0"/>
          <w:numId w:val="1002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0" Target="media/rId30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27" Target="media/rId27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2026-05-20T22:59:21Z</dcterms:created>
  <dcterms:modified xsi:type="dcterms:W3CDTF">2026-05-20T22:59:21Z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