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8.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The goal of this notebook is to present a complete Harbinger workflow: loading an example dataset, configuring the method used in the notebook, running the analysis, and interpreting the resulting outputs and plots.</w:t>
      </w:r>
    </w:p>
    <w:bookmarkEnd w:id="9"/>
    <w:bookmarkStart w:id="10" w:name="method-at-a-glance"/>
    <w:p>
      <w:pPr>
        <w:pStyle w:val="Heading2"/>
      </w:pPr>
      <w:r>
        <w:t xml:space="preserve">Method at a glance</w:t>
      </w:r>
    </w:p>
    <w:p>
      <w:pPr>
        <w:pStyle w:val="FirstParagraph"/>
      </w:pPr>
      <w:r>
        <w:t xml:space="preserve">This notebook showcases motif discovery (repeated subsequences) using Harbinger’s unified interface and base plotting. Across synthetic and ECG datasets, we fit a detector, run discovery, and plot results. The aim is to build intuition for how motifs (and related discords) appear in time series and how Matrix Profile/SAX-based methods surface them.</w:t>
      </w:r>
    </w:p>
    <w:bookmarkEnd w:id="10"/>
    <w:bookmarkStart w:id="22"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harbinger()</w:t>
      </w:r>
      <w:r>
        <w:t xml:space="preserve">. The semantic point is the one stated above: this notebook showcases motif discovery (repeated subsequences) using Harbinger’s unified interface and base plotting,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bookmarkEnd w:id="11"/>
    <w:bookmarkStart w:id="21" w:name="configure-the-method"/>
    <w:p>
      <w:pPr>
        <w:pStyle w:val="Heading3"/>
      </w:pPr>
      <w:r>
        <w:t xml:space="preserve">Configure the Method</w:t>
      </w:r>
    </w:p>
    <w:p>
      <w:pPr>
        <w:pStyle w:val="FirstParagraph"/>
      </w:pPr>
      <w:r>
        <w:t xml:space="preserve">The choices below turn the central modeling idea into concrete parameters. They matter because this notebook showcases motif discovery (repeated subsequences) using Harbinger’s unified interface and base plotting, so each argument controls how strongly the method will emphasize that pattern when it later produces workflow outputs.</w:t>
      </w:r>
    </w:p>
    <w:p>
      <w:pPr>
        <w:pStyle w:val="SourceCode"/>
      </w:pPr>
      <w:r>
        <w:rPr>
          <w:rStyle w:val="CommentTok"/>
        </w:rPr>
        <w:t xml:space="preserve"># Load motif example datasets and create a base object</w:t>
      </w:r>
      <w:r>
        <w:br/>
      </w:r>
      <w:r>
        <w:rPr>
          <w:rStyle w:val="FunctionTok"/>
        </w:rPr>
        <w:t xml:space="preserve">data</w:t>
      </w:r>
      <w:r>
        <w:rPr>
          <w:rStyle w:val="NormalTok"/>
        </w:rPr>
        <w:t xml:space="preserve">(examples_motifs)</w:t>
      </w:r>
      <w:r>
        <w:br/>
      </w:r>
      <w:r>
        <w:rPr>
          <w:rStyle w:val="NormalTok"/>
        </w:rPr>
        <w:t xml:space="preserve">model </w:t>
      </w:r>
      <w:r>
        <w:rPr>
          <w:rStyle w:val="OtherTok"/>
        </w:rPr>
        <w:t xml:space="preserve">&lt;-</w:t>
      </w:r>
      <w:r>
        <w:rPr>
          <w:rStyle w:val="NormalTok"/>
        </w:rPr>
        <w:t xml:space="preserve"> </w:t>
      </w:r>
      <w:r>
        <w:rPr>
          <w:rStyle w:val="FunctionTok"/>
        </w:rPr>
        <w:t xml:space="preserve">harbinger</w:t>
      </w:r>
      <w:r>
        <w:rPr>
          <w:rStyle w:val="NormalTok"/>
        </w:rPr>
        <w:t xml:space="preserve">()</w:t>
      </w:r>
    </w:p>
    <w:p>
      <w:pPr>
        <w:pStyle w:val="SourceCode"/>
      </w:pPr>
      <w:r>
        <w:rPr>
          <w:rStyle w:val="CommentTok"/>
        </w:rPr>
        <w:t xml:space="preserve"># Simple synthetic motif dataset</w:t>
      </w:r>
      <w:r>
        <w:br/>
      </w:r>
      <w:r>
        <w:rPr>
          <w:rStyle w:val="NormalTok"/>
        </w:rPr>
        <w:t xml:space="preserve">dataset </w:t>
      </w:r>
      <w:r>
        <w:rPr>
          <w:rStyle w:val="OtherTok"/>
        </w:rPr>
        <w:t xml:space="preserve">&lt;-</w:t>
      </w:r>
      <w:r>
        <w:rPr>
          <w:rStyle w:val="NormalTok"/>
        </w:rPr>
        <w:t xml:space="preserve"> examples_motifs</w:t>
      </w:r>
      <w:r>
        <w:rPr>
          <w:rStyle w:val="SpecialCharTok"/>
        </w:rPr>
        <w:t xml:space="preserve">$</w:t>
      </w:r>
      <w:r>
        <w:rPr>
          <w:rStyle w:val="NormalTok"/>
        </w:rPr>
        <w:t xml:space="preserve">simple</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general/doc/04-orientation-examples_motifs_files/aeb1f15d08218c1e0d456d6e17f6847b87e98b0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ECG sample: MIT-BIH record 100</w:t>
      </w:r>
      <w:r>
        <w:br/>
      </w:r>
      <w:r>
        <w:rPr>
          <w:rStyle w:val="NormalTok"/>
        </w:rPr>
        <w:t xml:space="preserve">dataset </w:t>
      </w:r>
      <w:r>
        <w:rPr>
          <w:rStyle w:val="OtherTok"/>
        </w:rPr>
        <w:t xml:space="preserve">&lt;-</w:t>
      </w:r>
      <w:r>
        <w:rPr>
          <w:rStyle w:val="NormalTok"/>
        </w:rPr>
        <w:t xml:space="preserve"> examples_motifs</w:t>
      </w:r>
      <w:r>
        <w:rPr>
          <w:rStyle w:val="SpecialCharTok"/>
        </w:rPr>
        <w:t xml:space="preserve">$</w:t>
      </w:r>
      <w:r>
        <w:rPr>
          <w:rStyle w:val="NormalTok"/>
        </w:rPr>
        <w:t xml:space="preserve">mitdb100</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16" name="Picture"/>
            <a:graphic>
              <a:graphicData uri="http://schemas.openxmlformats.org/drawingml/2006/picture">
                <pic:pic>
                  <pic:nvPicPr>
                    <pic:cNvPr descr="/home/gpca/harbinger/examples/general/doc/04-orientation-examples_motifs_files/2a01821740251f2dfa67c2e95dbf60134d18f446.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ECG sample: MIT-BIH record 102</w:t>
      </w:r>
      <w:r>
        <w:br/>
      </w:r>
      <w:r>
        <w:rPr>
          <w:rStyle w:val="NormalTok"/>
        </w:rPr>
        <w:t xml:space="preserve">dataset </w:t>
      </w:r>
      <w:r>
        <w:rPr>
          <w:rStyle w:val="OtherTok"/>
        </w:rPr>
        <w:t xml:space="preserve">&lt;-</w:t>
      </w:r>
      <w:r>
        <w:rPr>
          <w:rStyle w:val="NormalTok"/>
        </w:rPr>
        <w:t xml:space="preserve"> examples_motifs</w:t>
      </w:r>
      <w:r>
        <w:rPr>
          <w:rStyle w:val="SpecialCharTok"/>
        </w:rPr>
        <w:t xml:space="preserve">$</w:t>
      </w:r>
      <w:r>
        <w:rPr>
          <w:rStyle w:val="NormalTok"/>
        </w:rPr>
        <w:t xml:space="preserve">mitdb102</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19" name="Picture"/>
            <a:graphic>
              <a:graphicData uri="http://schemas.openxmlformats.org/drawingml/2006/picture">
                <pic:pic>
                  <pic:nvPicPr>
                    <pic:cNvPr descr="/home/gpca/harbinger/examples/general/doc/04-orientation-examples_motifs_files/2d3c794107927fdbd71a6d74b79b8e811738e6ce.png" id="20" name="Picture"/>
                    <pic:cNvPicPr>
                      <a:picLocks noChangeArrowheads="1" noChangeAspect="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bookmarkEnd w:id="21"/>
    <w:bookmarkEnd w:id="22"/>
    <w:bookmarkStart w:id="24" w:name="references"/>
    <w:p>
      <w:pPr>
        <w:pStyle w:val="Heading2"/>
      </w:pPr>
      <w:r>
        <w:t xml:space="preserve">References</w:t>
      </w:r>
    </w:p>
    <w:p>
      <w:pPr>
        <w:pStyle w:val="Compact"/>
        <w:numPr>
          <w:ilvl w:val="0"/>
          <w:numId w:val="1002"/>
        </w:numPr>
      </w:pPr>
      <w:r>
        <w:t xml:space="preserve">Yeh, C.-C. M., et al. (2016). Matrix Profile I/II: All-pairs similarity joins and scalable time series motif/discord discovery. IEEE ICDM.</w:t>
      </w:r>
    </w:p>
    <w:p>
      <w:pPr>
        <w:pStyle w:val="Compact"/>
        <w:numPr>
          <w:ilvl w:val="0"/>
          <w:numId w:val="1002"/>
        </w:numPr>
      </w:pPr>
      <w:r>
        <w:t xml:space="preserve">Tavenard, R., et al. (2020). tsmp: The Matrix Profile in R. The R Journal.</w:t>
      </w:r>
      <w:r>
        <w:t xml:space="preserve"> </w:t>
      </w:r>
      <w:hyperlink r:id="rId23">
        <w:r>
          <w:rPr>
            <w:rStyle w:val="Hyperlink"/>
          </w:rPr>
          <w:t xml:space="preserve">doi:10.32614/RJ-2020-021</w:t>
        </w:r>
      </w:hyperlink>
    </w:p>
    <w:p>
      <w:pPr>
        <w:pStyle w:val="Compact"/>
        <w:numPr>
          <w:ilvl w:val="0"/>
          <w:numId w:val="1002"/>
        </w:numPr>
      </w:pPr>
      <w:r>
        <w:t xml:space="preserve">Lin, J., Keogh, E., Lonardi, S., Chiu, B. (2007). A symbolic representation of time series, with implications for streaming algorithms. DMKD, 15, 107-144.</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12" Target="media/rId12.png" /><Relationship Type="http://schemas.openxmlformats.org/officeDocument/2006/relationships/hyperlink" Id="rId23" Target="doi:10.32614/RJ-2020-021" TargetMode="External" /></Relationships>
</file>

<file path=word/_rels/footnotes.xml.rels><?xml version="1.0" encoding="UTF-8"?><Relationships xmlns="http://schemas.openxmlformats.org/package/2006/relationships"><Relationship Type="http://schemas.openxmlformats.org/officeDocument/2006/relationships/hyperlink" Id="rId23" Target="doi:10.32614/RJ-2020-0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2026-05-20T22:59:22Z</dcterms:created>
  <dcterms:modified xsi:type="dcterms:W3CDTF">2026-05-20T22:59:22Z</dcterms:modified>
</cp:coreProperties>
</file>

<file path=docProps/custom.xml><?xml version="1.0" encoding="utf-8"?>
<Properties xmlns="http://schemas.openxmlformats.org/officeDocument/2006/custom-properties" xmlns:vt="http://schemas.openxmlformats.org/officeDocument/2006/docPropsVTypes"/>
</file>