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ucr_ecg"/>
    <w:p>
      <w:pPr>
        <w:pStyle w:val="Heading3"/>
      </w:pPr>
      <w:r>
        <w:t xml:space="preserve">ucr_ecg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3f9bde819c996205cca84aee1b3d97ba6039db9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ucr_nasa"/>
    <w:p>
      <w:pPr>
        <w:pStyle w:val="Heading3"/>
      </w:pPr>
      <w:r>
        <w:t xml:space="preserve">ucr_nasa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a583521e5d4a9583f608e73f130638b48291fb0f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ucr_int_bleeding"/>
    <w:p>
      <w:pPr>
        <w:pStyle w:val="Heading3"/>
      </w:pPr>
      <w:r>
        <w:t xml:space="preserve">ucr_int_bleeding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6ffbb77c7d3ceda328641272fe37e063fb956c2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ucr_power_demand"/>
    <w:p>
      <w:pPr>
        <w:pStyle w:val="Heading3"/>
      </w:pPr>
      <w:r>
        <w:t xml:space="preserve">ucr_power_demand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b0d4ef780e62cd2a4cd643d56c84d96aad9f520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2026-05-11T00:00:39Z</dcterms:created>
  <dcterms:modified xsi:type="dcterms:W3CDTF">2026-05-11T00:00:39Z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