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that behave better on the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benchmark than</w:t>
      </w:r>
      <w:r>
        <w:t xml:space="preserve"> </w:t>
      </w:r>
      <w:r>
        <w:t xml:space="preserve">the previous placeholder combination.</w:t>
      </w:r>
    </w:p>
    <w:p>
      <w:pPr>
        <w:pStyle w:val="Compact"/>
        <w:numPr>
          <w:ilvl w:val="0"/>
          <w:numId w:val="1001"/>
        </w:numPr>
      </w:pPr>
      <w:r>
        <w:t xml:space="preserve">load and visualize the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because they behave better on</w:t>
      </w:r>
      <w:r>
        <w:t xml:space="preserve"> </w:t>
      </w:r>
      <w:r>
        <w:rPr>
          <w:rStyle w:val="VerbatimChar"/>
        </w:rPr>
        <w:t xml:space="preserve">examples_changepoints$simple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 stronger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with stronger base detectors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50  50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0396f8686c4b70cad6a2a0023627a989819d8d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2026-05-11T17:42:30Z</dcterms:created>
  <dcterms:modified xsi:type="dcterms:W3CDTF">2026-05-11T17:42:30Z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