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stronger fuzzy ensemble configuration as the previous example so the plots are</w:t>
      </w:r>
      <w:r>
        <w:t xml:space="preserve"> </w:t>
      </w:r>
      <w:r>
        <w:t xml:space="preserve">driven by detectors that behave better on the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 </w:t>
      </w:r>
      <w:r>
        <w:t xml:space="preserve">benchmark.</w:t>
      </w:r>
    </w:p>
    <w:p>
      <w:pPr>
        <w:pStyle w:val="Compact"/>
        <w:numPr>
          <w:ilvl w:val="0"/>
          <w:numId w:val="1001"/>
        </w:numPr>
      </w:pPr>
      <w:r>
        <w:t xml:space="preserve">load the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CommentTok"/>
        </w:rPr>
        <w:t xml:space="preserve"># Configure the same stronger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0396f8686c4b70cad6a2a0023627a989819d8d0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6c312e0e89c804e6ac8a1562d9ef0bf462d9d49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2026-05-11T17:42:33Z</dcterms:created>
  <dcterms:modified xsi:type="dcterms:W3CDTF">2026-05-11T17:42:33Z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