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GFT: Generalized fluctuation tests assess stability of regression parameters over time using</w:t>
      </w:r>
      <w:r>
        <w:t xml:space="preserve"> </w:t>
      </w:r>
      <w:r>
        <w:rPr>
          <w:rStyle w:val="VerbatimChar"/>
        </w:rPr>
        <w:t xml:space="preserve">strucchange::breakpoints()</w:t>
      </w:r>
      <w:r>
        <w:t xml:space="preserve">, returning estimated break dates under information criteria.</w:t>
      </w:r>
    </w:p>
    <w:p>
      <w:pPr>
        <w:pStyle w:val="BodyText"/>
      </w:pPr>
      <w:r>
        <w:t xml:space="preserve">Generalized Fluctuation Tests (GFT) assess structural changes by examining stability of regression fits across time. In this tutorial we:</w:t>
      </w:r>
    </w:p>
    <w:p>
      <w:pPr>
        <w:pStyle w:val="Compact"/>
        <w:numPr>
          <w:ilvl w:val="0"/>
          <w:numId w:val="1001"/>
        </w:numPr>
      </w:pPr>
      <w:r>
        <w:t xml:space="preserve">Load and visualize a simple change-point dataset</w:t>
      </w:r>
    </w:p>
    <w:p>
      <w:pPr>
        <w:pStyle w:val="Compact"/>
        <w:numPr>
          <w:ilvl w:val="0"/>
          <w:numId w:val="1001"/>
        </w:numPr>
      </w:pPr>
      <w:r>
        <w:t xml:space="preserve">Configure and run the GFT-based detector (</w:t>
      </w:r>
      <w:r>
        <w:rPr>
          <w:rStyle w:val="VerbatimChar"/>
        </w:rPr>
        <w:t xml:space="preserve">hcp_gft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Inspect detections, evaluate, and plot results</w:t>
      </w:r>
    </w:p>
    <w:p>
      <w:pPr>
        <w:pStyle w:val="SourceCode"/>
      </w:pPr>
      <w:r>
        <w:rPr>
          <w:rStyle w:val="CommentTok"/>
        </w:rPr>
        <w:t xml:space="preserve"># Install Harbinger (if needed)</w:t>
      </w:r>
      <w:r>
        <w:br/>
      </w:r>
      <w:r>
        <w:rPr>
          <w:rStyle w:val="CommentTok"/>
        </w:rPr>
        <w:t xml:space="preserve">#install.packages("harbinger")</w:t>
      </w:r>
    </w:p>
    <w:p>
      <w:pPr>
        <w:pStyle w:val="SourceCode"/>
      </w:pPr>
      <w:r>
        <w:rPr>
          <w:rStyle w:val="CommentTok"/>
        </w:rPr>
        <w:t xml:space="preserve"># Load required packages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(harbinger) </w:t>
      </w:r>
    </w:p>
    <w:p>
      <w:pPr>
        <w:pStyle w:val="SourceCode"/>
      </w:pPr>
      <w:r>
        <w:rPr>
          <w:rStyle w:val="CommentTok"/>
        </w:rPr>
        <w:t xml:space="preserve"># Load example change-point datasets</w:t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(examples_changepoints)</w:t>
      </w:r>
    </w:p>
    <w:p>
      <w:pPr>
        <w:pStyle w:val="SourceCode"/>
      </w:pPr>
      <w:r>
        <w:rPr>
          <w:rStyle w:val="CommentTok"/>
        </w:rPr>
        <w:t xml:space="preserve"># Select the simple dataset</w:t>
      </w:r>
      <w:r>
        <w:br/>
      </w:r>
      <w:r>
        <w:rPr>
          <w:rStyle w:val="NormalTok"/>
        </w:rPr>
        <w:t xml:space="preserve">dataset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examples_changepoints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simple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(dataset)</w:t>
      </w:r>
    </w:p>
    <w:p>
      <w:pPr>
        <w:pStyle w:val="SourceCode"/>
      </w:pPr>
      <w:r>
        <w:rPr>
          <w:rStyle w:val="VerbatimChar"/>
        </w:rPr>
        <w:t xml:space="preserve">##   serie event</w:t>
      </w:r>
      <w:r>
        <w:br/>
      </w:r>
      <w:r>
        <w:rPr>
          <w:rStyle w:val="VerbatimChar"/>
        </w:rPr>
        <w:t xml:space="preserve">## 1  0.00 FALSE</w:t>
      </w:r>
      <w:r>
        <w:br/>
      </w:r>
      <w:r>
        <w:rPr>
          <w:rStyle w:val="VerbatimChar"/>
        </w:rPr>
        <w:t xml:space="preserve">## 2  0.25 FALSE</w:t>
      </w:r>
      <w:r>
        <w:br/>
      </w:r>
      <w:r>
        <w:rPr>
          <w:rStyle w:val="VerbatimChar"/>
        </w:rPr>
        <w:t xml:space="preserve">## 3  0.50 FALSE</w:t>
      </w:r>
      <w:r>
        <w:br/>
      </w:r>
      <w:r>
        <w:rPr>
          <w:rStyle w:val="VerbatimChar"/>
        </w:rPr>
        <w:t xml:space="preserve">## 4  0.75 FALSE</w:t>
      </w:r>
      <w:r>
        <w:br/>
      </w:r>
      <w:r>
        <w:rPr>
          <w:rStyle w:val="VerbatimChar"/>
        </w:rPr>
        <w:t xml:space="preserve">## 5  1.00 FALSE</w:t>
      </w:r>
      <w:r>
        <w:br/>
      </w:r>
      <w:r>
        <w:rPr>
          <w:rStyle w:val="VerbatimChar"/>
        </w:rPr>
        <w:t xml:space="preserve">## 6  1.25 FALSE</w:t>
      </w:r>
    </w:p>
    <w:p>
      <w:pPr>
        <w:pStyle w:val="SourceCode"/>
      </w:pPr>
      <w:r>
        <w:rPr>
          <w:rStyle w:val="CommentTok"/>
        </w:rPr>
        <w:t xml:space="preserve"># Plot the raw time series</w:t>
      </w:r>
      <w:r>
        <w:br/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harbinger</w:t>
      </w:r>
      <w:r>
        <w:rPr>
          <w:rStyle w:val="NormalTok"/>
        </w:rPr>
        <w:t xml:space="preserve">(),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/home/gpca/harbinger/examples/change_point/doc/hcp_gft_files/figure-docx/unnamed-chunk-5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Configure the GFT detector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hcp_gft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CommentTok"/>
        </w:rPr>
        <w:t xml:space="preserve"># Fit the detector (no training required)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p>
      <w:pPr>
        <w:pStyle w:val="SourceCode"/>
      </w:pPr>
      <w:r>
        <w:rPr>
          <w:rStyle w:val="CommentTok"/>
        </w:rPr>
        <w:t xml:space="preserve"># Run detection</w:t>
      </w:r>
      <w:r>
        <w:br/>
      </w:r>
      <w:r>
        <w:rPr>
          <w:rStyle w:val="NormalTok"/>
        </w:rPr>
        <w:t xml:space="preserve">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p>
      <w:pPr>
        <w:pStyle w:val="SourceCode"/>
      </w:pPr>
      <w:r>
        <w:rPr>
          <w:rStyle w:val="CommentTok"/>
        </w:rPr>
        <w:t xml:space="preserve"># Show detected change points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(detection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  idx event        type</w:t>
      </w:r>
      <w:r>
        <w:br/>
      </w:r>
      <w:r>
        <w:rPr>
          <w:rStyle w:val="VerbatimChar"/>
        </w:rPr>
        <w:t xml:space="preserve">## 1  49  TRUE changepoint</w:t>
      </w:r>
      <w:r>
        <w:br/>
      </w:r>
      <w:r>
        <w:rPr>
          <w:rStyle w:val="VerbatimChar"/>
        </w:rPr>
        <w:t xml:space="preserve">## 2  64  TRUE changepoint</w:t>
      </w:r>
    </w:p>
    <w:p>
      <w:pPr>
        <w:pStyle w:val="SourceCode"/>
      </w:pPr>
      <w:r>
        <w:rPr>
          <w:rStyle w:val="CommentTok"/>
        </w:rPr>
        <w:t xml:space="preserve"># Evaluate detections against labels</w:t>
      </w:r>
      <w:r>
        <w:br/>
      </w:r>
      <w:r>
        <w:rPr>
          <w:rStyle w:val="NormalTok"/>
        </w:rPr>
        <w:t xml:space="preserve">evaluation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detection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(evaluation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confMatrix)</w:t>
      </w:r>
    </w:p>
    <w:p>
      <w:pPr>
        <w:pStyle w:val="SourceCode"/>
      </w:pPr>
      <w:r>
        <w:rPr>
          <w:rStyle w:val="VerbatimChar"/>
        </w:rPr>
        <w:t xml:space="preserve">##           event      </w:t>
      </w:r>
      <w:r>
        <w:br/>
      </w:r>
      <w:r>
        <w:rPr>
          <w:rStyle w:val="VerbatimChar"/>
        </w:rPr>
        <w:t xml:space="preserve">## detection TRUE  FALSE</w:t>
      </w:r>
      <w:r>
        <w:br/>
      </w:r>
      <w:r>
        <w:rPr>
          <w:rStyle w:val="VerbatimChar"/>
        </w:rPr>
        <w:t xml:space="preserve">## TRUE      0     2    </w:t>
      </w:r>
      <w:r>
        <w:br/>
      </w:r>
      <w:r>
        <w:rPr>
          <w:rStyle w:val="VerbatimChar"/>
        </w:rPr>
        <w:t xml:space="preserve">## FALSE     1     98</w:t>
      </w:r>
    </w:p>
    <w:p>
      <w:pPr>
        <w:pStyle w:val="SourceCode"/>
      </w:pPr>
      <w:r>
        <w:rPr>
          <w:rStyle w:val="CommentTok"/>
        </w:rPr>
        <w:t xml:space="preserve"># Plot detections vs. ground truth</w:t>
      </w:r>
      <w:r>
        <w:br/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serie, detection,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/home/gpca/harbinger/examples/change_point/doc/hcp_gft_files/figure-docx/unnamed-chunk-11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References</w:t>
      </w:r>
      <w:r>
        <w:t xml:space="preserve"> </w:t>
      </w:r>
      <w:r>
        <w:t xml:space="preserve">- Zeileis, A., Leisch, F., Kleiber, C., Hornik, K. (2002). strucchange: An R package for testing for structural change in linear regression models. Journal of Statistical Software, 7(2).</w:t>
      </w:r>
      <w:r>
        <w:t xml:space="preserve"> </w:t>
      </w:r>
      <w:hyperlink r:id="rId26">
        <w:r>
          <w:rPr>
            <w:rStyle w:val="Hyperlink"/>
          </w:rPr>
          <w:t xml:space="preserve">doi:10.18637/jss.v007.i02</w:t>
        </w:r>
      </w:hyperlink>
      <w:r>
        <w:t xml:space="preserve"> </w:t>
      </w:r>
      <w:r>
        <w:t xml:space="preserve">- Zeileis, A., Kleiber, C., Krämer, W., Hornik, K. (2003). Testing and dating of structural changes in practice. Computational Statistics &amp; Data Analysis, 44(1), 109–123.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0" Target="media/rId20.png" /><Relationship Type="http://schemas.openxmlformats.org/officeDocument/2006/relationships/hyperlink" Id="rId26" Target="doi:10.18637/jss.v007.i02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doi:10.18637/jss.v007.i02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2025-11-07T22:47:20Z</dcterms:created>
  <dcterms:modified xsi:type="dcterms:W3CDTF">2025-11-07T22:47:20Z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