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ChangeFinder-ETS detects change points by modeling residual deviations with an ETS model and smoothing over a sliding window. We will:</w:t>
      </w:r>
    </w:p>
    <w:p>
      <w:pPr>
        <w:pStyle w:val="Compact"/>
        <w:numPr>
          <w:ilvl w:val="0"/>
          <w:numId w:val="1001"/>
        </w:numPr>
      </w:pPr>
      <w:r>
        <w:t xml:space="preserve">Load and visualize a simple change-point dataset</w:t>
      </w:r>
    </w:p>
    <w:p>
      <w:pPr>
        <w:pStyle w:val="Compact"/>
        <w:numPr>
          <w:ilvl w:val="0"/>
          <w:numId w:val="1001"/>
        </w:numPr>
      </w:pPr>
      <w:r>
        <w:t xml:space="preserve">Configure the ChangeFinder-ETS detector (</w:t>
      </w:r>
      <w:r>
        <w:rPr>
          <w:rStyle w:val="VerbatimChar"/>
        </w:rPr>
        <w:t xml:space="preserve">sw_size</w:t>
      </w:r>
      <w:r>
        <w:t xml:space="preserve"> </w:t>
      </w:r>
      <w:r>
        <w:t xml:space="preserve">controls smoothing)</w:t>
      </w:r>
    </w:p>
    <w:p>
      <w:pPr>
        <w:pStyle w:val="Compact"/>
        <w:numPr>
          <w:ilvl w:val="0"/>
          <w:numId w:val="1001"/>
        </w:numPr>
      </w:pPr>
      <w:r>
        <w:t xml:space="preserve">Inspect detections, evaluate, and plot residuals with thresholds</w:t>
      </w:r>
    </w:p>
    <w:bookmarkEnd w:id="20"/>
    <w:bookmarkStart w:id="21" w:name="method-at-a-glance"/>
    <w:p>
      <w:pPr>
        <w:pStyle w:val="Heading2"/>
      </w:pPr>
      <w:r>
        <w:t xml:space="preserve">Method at a glance</w:t>
      </w:r>
    </w:p>
    <w:p>
      <w:pPr>
        <w:pStyle w:val="FirstParagraph"/>
      </w:pPr>
      <w:r>
        <w:t xml:space="preserve">ChangeFinder with ETS: ChangeFinder with ETS models residual deviations and applies a second-stage smoothing/thresholding to highlight structural changes. Implementation wraps ETS from</w:t>
      </w:r>
      <w:r>
        <w:t xml:space="preserve"> </w:t>
      </w:r>
      <w:r>
        <w:rPr>
          <w:rStyle w:val="VerbatimChar"/>
        </w:rPr>
        <w:t xml:space="preserve">forecast</w:t>
      </w:r>
      <w:r>
        <w:t xml:space="preserve"> </w:t>
      </w:r>
      <w:r>
        <w:t xml:space="preserve">and uses</w:t>
      </w:r>
      <w:r>
        <w:t xml:space="preserve"> </w:t>
      </w:r>
      <w:r>
        <w:rPr>
          <w:rStyle w:val="VerbatimChar"/>
        </w:rPr>
        <w:t xml:space="preserve">harutils()</w:t>
      </w:r>
      <w:r>
        <w:t xml:space="preserve"> </w:t>
      </w:r>
      <w:r>
        <w:t xml:space="preserve">for thresholds.</w:t>
      </w:r>
    </w:p>
    <w:bookmarkEnd w:id="21"/>
    <w:bookmarkStart w:id="22"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change-point datasets</w:t>
      </w:r>
      <w:r>
        <w:br/>
      </w:r>
      <w:r>
        <w:rPr>
          <w:rStyle w:val="FunctionTok"/>
        </w:rPr>
        <w:t xml:space="preserve">data</w:t>
      </w:r>
      <w:r>
        <w:rPr>
          <w:rStyle w:val="NormalTok"/>
        </w:rPr>
        <w:t xml:space="preserve">(examples_changepoints)</w:t>
      </w:r>
    </w:p>
    <w:p>
      <w:pPr>
        <w:pStyle w:val="SourceCode"/>
      </w:pPr>
      <w:r>
        <w:rPr>
          <w:rStyle w:val="CommentTok"/>
        </w:rPr>
        <w:t xml:space="preserve"># Select the simple dataset</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0.00 FALSE</w:t>
      </w:r>
      <w:r>
        <w:br/>
      </w:r>
      <w:r>
        <w:rPr>
          <w:rStyle w:val="VerbatimChar"/>
        </w:rPr>
        <w:t xml:space="preserve">## 2  0.25 FALSE</w:t>
      </w:r>
      <w:r>
        <w:br/>
      </w:r>
      <w:r>
        <w:rPr>
          <w:rStyle w:val="VerbatimChar"/>
        </w:rPr>
        <w:t xml:space="preserve">## 3  0.50 FALSE</w:t>
      </w:r>
      <w:r>
        <w:br/>
      </w:r>
      <w:r>
        <w:rPr>
          <w:rStyle w:val="VerbatimChar"/>
        </w:rPr>
        <w:t xml:space="preserve">## 4  0.75 FALSE</w:t>
      </w:r>
      <w:r>
        <w:br/>
      </w:r>
      <w:r>
        <w:rPr>
          <w:rStyle w:val="VerbatimChar"/>
        </w:rPr>
        <w:t xml:space="preserve">## 5  1.00 FALSE</w:t>
      </w:r>
      <w:r>
        <w:br/>
      </w:r>
      <w:r>
        <w:rPr>
          <w:rStyle w:val="VerbatimChar"/>
        </w:rPr>
        <w:t xml:space="preserve">## 6  1.25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change_point/doc/08-changefinder-hcp_cf_ets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Configure ChangeFinder-ETS</w:t>
      </w:r>
      <w:r>
        <w:br/>
      </w:r>
      <w:r>
        <w:rPr>
          <w:rStyle w:val="NormalTok"/>
        </w:rPr>
        <w:t xml:space="preserve">model </w:t>
      </w:r>
      <w:r>
        <w:rPr>
          <w:rStyle w:val="OtherTok"/>
        </w:rPr>
        <w:t xml:space="preserve">&lt;-</w:t>
      </w:r>
      <w:r>
        <w:rPr>
          <w:rStyle w:val="NormalTok"/>
        </w:rPr>
        <w:t xml:space="preserve"> </w:t>
      </w:r>
      <w:r>
        <w:rPr>
          <w:rStyle w:val="FunctionTok"/>
        </w:rPr>
        <w:t xml:space="preserve">hcp_cf_ets</w:t>
      </w:r>
      <w:r>
        <w:rPr>
          <w:rStyle w:val="NormalTok"/>
        </w:rPr>
        <w:t xml:space="preserve">(</w:t>
      </w:r>
      <w:r>
        <w:rPr>
          <w:rStyle w:val="AttributeTok"/>
        </w:rPr>
        <w:t xml:space="preserve">sw_size =</w:t>
      </w:r>
      <w:r>
        <w:rPr>
          <w:rStyle w:val="NormalTok"/>
        </w:rPr>
        <w:t xml:space="preserve"> </w:t>
      </w:r>
      <w:r>
        <w:rPr>
          <w:rStyle w:val="DecValTok"/>
        </w:rPr>
        <w:t xml:space="preserve">10</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change points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51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1     99</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change_point/doc/08-changefinder-hcp_cf_ets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change_point/doc/08-changefinder-hcp_cf_ets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1" w:name="references"/>
    <w:p>
      <w:pPr>
        <w:pStyle w:val="Heading2"/>
      </w:pPr>
      <w:r>
        <w:t xml:space="preserve">References</w:t>
      </w:r>
    </w:p>
    <w:p>
      <w:pPr>
        <w:pStyle w:val="Compact"/>
        <w:numPr>
          <w:ilvl w:val="0"/>
          <w:numId w:val="1003"/>
        </w:numPr>
      </w:pPr>
      <w:r>
        <w:t xml:space="preserve">Takeuchi, J., Yamanishi, K. (2006). A unifying framework for detecting outliers and change points from time series. IEEE TKDE.</w:t>
      </w:r>
      <w:r>
        <w:t xml:space="preserve"> </w:t>
      </w:r>
      <w:hyperlink r:id="rId40">
        <w:r>
          <w:rPr>
            <w:rStyle w:val="Hyperlink"/>
          </w:rPr>
          <w:t xml:space="preserve">doi:10.1109/TKDE.2006.1599387</w:t>
        </w:r>
      </w:hyperlink>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 Type="http://schemas.openxmlformats.org/officeDocument/2006/relationships/hyperlink" Id="rId40" Target="doi:10.1109/TKDE.2006.1599387" TargetMode="External" /></Relationships>
</file>

<file path=word/_rels/footnotes.xml.rels><?xml version="1.0" encoding="UTF-8"?><Relationships xmlns="http://schemas.openxmlformats.org/package/2006/relationships"><Relationship Type="http://schemas.openxmlformats.org/officeDocument/2006/relationships/hyperlink" Id="rId40" Target="doi:10.1109/TKDE.2006.159938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2026-03-12T21:00:59Z</dcterms:created>
  <dcterms:modified xsi:type="dcterms:W3CDTF">2026-03-12T21:00:59Z</dcterms:modified>
</cp:coreProperties>
</file>

<file path=docProps/custom.xml><?xml version="1.0" encoding="utf-8"?>
<Properties xmlns="http://schemas.openxmlformats.org/officeDocument/2006/custom-properties" xmlns:vt="http://schemas.openxmlformats.org/officeDocument/2006/docPropsVTypes"/>
</file>