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3.png" ContentType="image/png"/>
  <Override PartName="/word/media/rId25.png" ContentType="image/png"/>
  <Override PartName="/word/media/rId28.png" ContentType="image/png"/>
  <Override PartName="/word/media/rId31.png" ContentType="image/png"/>
  <Override PartName="/word/media/rId34.png" ContentType="image/png"/>
  <Override PartName="/word/media/rId37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The goal of this notebook is to present a complete Harbinger workflow: loading an example dataset, configuring the method used in the notebook, running the analysis, and interpreting the resulting outputs and plots.</w:t>
      </w:r>
    </w:p>
    <w:bookmarkEnd w:id="20"/>
    <w:bookmarkStart w:id="21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This notebook illustrates typical change-point scenarios (single break, multiple breaks, variance/volatility shifts) and how Harbinger visualizes detected change locations. We use the unified pipeline to fit, detect, and plot across datasets, highlighting when classic (AMOC/BinSeg/PELT) or regression-based (GFT/Chow) approaches are appropriate.</w:t>
      </w:r>
    </w:p>
    <w:bookmarkEnd w:id="21"/>
    <w:bookmarkStart w:id="22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1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1"/>
        </w:numPr>
      </w:pPr>
      <w:r>
        <w:t xml:space="preserve">inspect the evaluation outputs and the diagnostic plots produced by Harbinger</w:t>
      </w:r>
    </w:p>
    <w:bookmarkEnd w:id="22"/>
    <w:bookmarkStart w:id="23" w:name="how-to-read-this-walkthrough"/>
    <w:p>
      <w:pPr>
        <w:pStyle w:val="Heading2"/>
      </w:pPr>
      <w:r>
        <w:t xml:space="preserve">How to read this walkthrough</w:t>
      </w:r>
    </w:p>
    <w:p>
      <w:pPr>
        <w:pStyle w:val="FirstParagraph"/>
      </w:pPr>
      <w:r>
        <w:t xml:space="preserve">The code blocks below follow the same learning rhythm used throughout the collection: prepare the environment, choose the dataset, configure the method, run the analysis, and then inspect the result. Readers who are still learning time-series mining can use that order to understand not only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each command does, but also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appears at that stage of the workflow.</w:t>
      </w:r>
    </w:p>
    <w:p>
      <w:pPr>
        <w:pStyle w:val="BodyText"/>
      </w:pPr>
      <w:r>
        <w:t xml:space="preserve">As you go through the notebook, read the inline comments inside each chunk as the operational explanation and use the surrounding prose as the conceptual guide.</w:t>
      </w:r>
    </w:p>
    <w:bookmarkEnd w:id="23"/>
    <w:bookmarkStart w:id="47" w:name="walkthrough"/>
    <w:p>
      <w:pPr>
        <w:pStyle w:val="Heading2"/>
      </w:pPr>
      <w:r>
        <w:t xml:space="preserve">Walkthrough</w:t>
      </w:r>
    </w:p>
    <w:bookmarkStart w:id="24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We begin by organizing the environment, loading the packages, and selecting the dataset used in the notebook. This part is intentionally more direct: the goal is to make the starting point explicit before the method-specific reasoning begins.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bookmarkEnd w:id="24"/>
    <w:bookmarkStart w:id="46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next step is to instantiate the method and, when necessary, fit it to the selected series. This is where the notebook makes its analytical choice explicit: the parameters chosen here determine what kind of pattern the detector or transformer will become sensitive to and how the later outputs should be interpreted.</w:t>
      </w:r>
    </w:p>
    <w:p>
      <w:pPr>
        <w:pStyle w:val="SourceCode"/>
      </w:pPr>
      <w:r>
        <w:rPr>
          <w:rStyle w:val="CommentTok"/>
        </w:rPr>
        <w:t xml:space="preserve"># Load change-point example datasets and create a base object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Simple change point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/home/gpca/harbinger/examples/general/doc/03-orientation-examples_changepoints_files/figure-docx/unnamed-chunk-4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Sinusoidal pattern with regime shift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sinusoidal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/home/gpca/harbinger/examples/general/doc/03-orientation-examples_changepoints_files/figure-docx/unnamed-chunk-5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Incremental trend changes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incremental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/home/gpca/harbinger/examples/general/doc/03-orientation-examples_changepoints_files/figure-docx/unnamed-chunk-6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Abrupt level shift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abrupt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SourceCode"/>
      </w:pPr>
      <w:r>
        <w:rPr>
          <w:rStyle w:val="VerbatimChar"/>
        </w:rPr>
        <w:t xml:space="preserve">## Don't know how to automatically pick scale for object of type &lt;ts&gt;. Defaulting to continuous.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/home/gpca/harbinger/examples/general/doc/03-orientation-examples_changepoints_files/figure-docx/unnamed-chunk-7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Volatility (variance) change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volatility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SourceCode"/>
      </w:pPr>
      <w:r>
        <w:rPr>
          <w:rStyle w:val="VerbatimChar"/>
        </w:rPr>
        <w:t xml:space="preserve">## Don't know how to automatically pick scale for object of type &lt;ts&gt;. Defaulting to continuous.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/home/gpca/harbinger/examples/general/doc/03-orientation-examples_changepoints_files/figure-docx/unnamed-chunk-8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Increasing amplitude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increasing_amplitude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/home/gpca/harbinger/examples/general/doc/03-orientation-examples_changepoints_files/figure-docx/unnamed-chunk-9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Complex multi-regime series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complex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/home/gpca/harbinger/examples/general/doc/03-orientation-examples_changepoints_files/figure-docx/unnamed-chunk-10-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End w:id="47"/>
    <w:bookmarkStart w:id="49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Hinkley, D. V. (1970). Inference about the change-point in a sequence of random variables. Biometrika, 57(1), 1–17.</w:t>
      </w:r>
    </w:p>
    <w:p>
      <w:pPr>
        <w:pStyle w:val="Compact"/>
        <w:numPr>
          <w:ilvl w:val="0"/>
          <w:numId w:val="1002"/>
        </w:numPr>
      </w:pPr>
      <w:r>
        <w:t xml:space="preserve">Killick, R., Fearnhead, P., Eckley, I. A. (2012). Optimal detection of changepoints with a linear computational cost. JASA, 107(500), 1590–1598.</w:t>
      </w:r>
    </w:p>
    <w:p>
      <w:pPr>
        <w:pStyle w:val="Compact"/>
        <w:numPr>
          <w:ilvl w:val="0"/>
          <w:numId w:val="1002"/>
        </w:numPr>
      </w:pPr>
      <w:r>
        <w:t xml:space="preserve">Zeileis, A., Leisch, F., Kleiber, C., Hornik, K. (2002). strucchange: An R package for testing for structural change in linear regression models. JSS, 7(2).</w:t>
      </w:r>
      <w:r>
        <w:t xml:space="preserve"> </w:t>
      </w:r>
      <w:hyperlink r:id="rId48">
        <w:r>
          <w:rPr>
            <w:rStyle w:val="Hyperlink"/>
          </w:rPr>
          <w:t xml:space="preserve">doi:10.18637/jss.v007.i02</w:t>
        </w:r>
      </w:hyperlink>
    </w:p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3" Target="media/rId43.png" /><Relationship Type="http://schemas.openxmlformats.org/officeDocument/2006/relationships/image" Id="rId25" Target="media/rId25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34" Target="media/rId34.png" /><Relationship Type="http://schemas.openxmlformats.org/officeDocument/2006/relationships/image" Id="rId37" Target="media/rId37.png" /><Relationship Type="http://schemas.openxmlformats.org/officeDocument/2006/relationships/image" Id="rId40" Target="media/rId40.png" /><Relationship Type="http://schemas.openxmlformats.org/officeDocument/2006/relationships/hyperlink" Id="rId48" Target="doi:10.18637/jss.v007.i0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8" Target="doi:10.18637/jss.v007.i0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2026-03-12T21:01:48Z</dcterms:created>
  <dcterms:modified xsi:type="dcterms:W3CDTF">2026-03-12T21:01:48Z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