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28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The goal of this notebook is to present a complete Harbinger workflow: loading an example dataset, configuring the method used in the notebook, running the analysis, and interpreting the resulting outputs and plots.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This notebook showcases motif discovery (repeated subsequences) using Harbinger’s unified interface and base plotting. Across synthetic and ECG datasets, we fit a detector, run discovery, and plot results. The aim is to build intuition for how motifs (and related discords) appear in time series and how Matrix Profile/SAX-based methods surface them.</w:t>
      </w:r>
    </w:p>
    <w:bookmarkEnd w:id="21"/>
    <w:bookmarkStart w:id="22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End w:id="22"/>
    <w:bookmarkStart w:id="23" w:name="how-to-read-this-walkthrough"/>
    <w:p>
      <w:pPr>
        <w:pStyle w:val="Heading2"/>
      </w:pPr>
      <w:r>
        <w:t xml:space="preserve">How to read this walkthrough</w:t>
      </w:r>
    </w:p>
    <w:p>
      <w:pPr>
        <w:pStyle w:val="FirstParagraph"/>
      </w:pPr>
      <w:r>
        <w:t xml:space="preserve">The code blocks below follow the same learning rhythm used throughout the collection: prepare the environment, choose the dataset, configure the method, run the analysis, and then inspect the result. Readers who are still learning time-series mining can use that order to understand not only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each command does, but also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appears at that stage of the workflow.</w:t>
      </w:r>
    </w:p>
    <w:p>
      <w:pPr>
        <w:pStyle w:val="BodyText"/>
      </w:pPr>
      <w:r>
        <w:t xml:space="preserve">As you go through the notebook, read the inline comments inside each chunk as the operational explanation and use the surrounding prose as the conceptual guide.</w:t>
      </w:r>
    </w:p>
    <w:bookmarkEnd w:id="23"/>
    <w:bookmarkStart w:id="35" w:name="walkthrough"/>
    <w:p>
      <w:pPr>
        <w:pStyle w:val="Heading2"/>
      </w:pPr>
      <w:r>
        <w:t xml:space="preserve">Walkthrough</w:t>
      </w:r>
    </w:p>
    <w:bookmarkStart w:id="24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We begin by organizing the environment, loading the packages, and selecting the dataset used in the notebook. This part is intentionally more direct: the goal is to make the starting point explicit before the method-specific reasoning begins.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bookmarkEnd w:id="24"/>
    <w:bookmarkStart w:id="34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next step is to instantiate the method and, when necessary, fit it to the selected series. This is where the notebook makes its analytical choice explicit: the parameters chosen here determine what kind of pattern the detector or transformer will become sensitive to and how the later outputs should be interpreted.</w:t>
      </w:r>
    </w:p>
    <w:p>
      <w:pPr>
        <w:pStyle w:val="SourceCode"/>
      </w:pPr>
      <w:r>
        <w:rPr>
          <w:rStyle w:val="CommentTok"/>
        </w:rPr>
        <w:t xml:space="preserve"># Load motif example datasets and create a base object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(examples_motifs)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Simple synthetic motif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examples_motifs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/home/gpca/harbinger/examples/general/doc/04-orientation-examples_motifs_files/figure-docx/unnamed-chunk-4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ECG sample: MIT-BIH record 100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examples_motifs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mitdb100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/home/gpca/harbinger/examples/general/doc/04-orientation-examples_motifs_files/figure-docx/unnamed-chunk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ECG sample: MIT-BIH record 102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examples_motifs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mitdb102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/home/gpca/harbinger/examples/general/doc/04-orientation-examples_motifs_files/figure-docx/unnamed-chunk-6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End w:id="35"/>
    <w:bookmarkStart w:id="3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Yeh, C.-C. M., et al. (2016). Matrix Profile I/II: All-pairs similarity joins and scalable time series motif/discord discovery. IEEE ICDM.</w:t>
      </w:r>
    </w:p>
    <w:p>
      <w:pPr>
        <w:pStyle w:val="Compact"/>
        <w:numPr>
          <w:ilvl w:val="0"/>
          <w:numId w:val="1002"/>
        </w:numPr>
      </w:pPr>
      <w:r>
        <w:t xml:space="preserve">Tavenard, R., et al. (2020). tsmp: The Matrix Profile in R. The R Journal.</w:t>
      </w:r>
      <w:r>
        <w:t xml:space="preserve"> </w:t>
      </w:r>
      <w:hyperlink r:id="rId36">
        <w:r>
          <w:rPr>
            <w:rStyle w:val="Hyperlink"/>
          </w:rPr>
          <w:t xml:space="preserve">doi:10.32614/RJ-2020-021</w:t>
        </w:r>
      </w:hyperlink>
    </w:p>
    <w:p>
      <w:pPr>
        <w:pStyle w:val="Compact"/>
        <w:numPr>
          <w:ilvl w:val="0"/>
          <w:numId w:val="1002"/>
        </w:numPr>
      </w:pPr>
      <w:r>
        <w:t xml:space="preserve">Lin, J., Keogh, E., Lonardi, S., Chiu, B. (2007). A symbolic representation of time series, with implications for streaming algorithms. DMKD, 15, 107–144.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hyperlink" Id="rId36" Target="doi:10.32614/RJ-2020-02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doi:10.32614/RJ-2020-02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2026-03-12T21:01:50Z</dcterms:created>
  <dcterms:modified xsi:type="dcterms:W3CDTF">2026-03-12T21:01:50Z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