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shows why understanding the dataset comes before choosing a detector. The goal is to inspect a full benchmark collection, count how many series it provides, determine whether the data are univariate or multivariate, and plot the first available signal.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Harbinger exposes benchmark datasets through packaged objects and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. Before modeling, it is useful to know the size of the collection, the shape of each series, and which signal column should be visualized first.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packaged benchmark object</w:t>
      </w:r>
    </w:p>
    <w:p>
      <w:pPr>
        <w:pStyle w:val="Compact"/>
        <w:numPr>
          <w:ilvl w:val="0"/>
          <w:numId w:val="1001"/>
        </w:numPr>
      </w:pPr>
      <w:r>
        <w:t xml:space="preserve">replace the mini object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the available series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the first signal using</w:t>
      </w:r>
      <w:r>
        <w:t xml:space="preserve"> </w:t>
      </w:r>
      <w:r>
        <w:rPr>
          <w:rStyle w:val="VerbatimChar"/>
        </w:rPr>
        <w:t xml:space="preserve">har_plot()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1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4"/>
    <w:bookmarkStart w:id="25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CommentTok"/>
        </w:rPr>
        <w:t xml:space="preserve"># Helper to summarize the dataset structure in a consistent way</w:t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prepare-the-example-1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Load a benchmark object and expand it to the full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bookmarkEnd w:id="26"/>
    <w:bookmarkStart w:id="30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first available signal with its labels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figure-docx/unnamed-chunk-4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2026-03-12T21:02:28Z</dcterms:created>
  <dcterms:modified xsi:type="dcterms:W3CDTF">2026-03-12T21:02:28Z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