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tutorial closes the guided path with repeated-pattern and rare-pattern analysis. The goal is to show that Harbinger is not limited to anomaly or change-point detection: it also supports motif discovery and symbolic pattern analysis.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Motifs are repeated subsequences, while discords are unusual subsequences. In this first contact, we use a motif example series and run a symbolic motif-oriented method so the reader can connect the earlier transformation tutorials with downstream sequence analysis.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a motif example series</w:t>
      </w:r>
    </w:p>
    <w:p>
      <w:pPr>
        <w:pStyle w:val="Compact"/>
        <w:numPr>
          <w:ilvl w:val="0"/>
          <w:numId w:val="1001"/>
        </w:numPr>
      </w:pPr>
      <w:r>
        <w:t xml:space="preserve">run a symbolic motif method</w:t>
      </w:r>
    </w:p>
    <w:p>
      <w:pPr>
        <w:pStyle w:val="Compact"/>
        <w:numPr>
          <w:ilvl w:val="0"/>
          <w:numId w:val="1001"/>
        </w:numPr>
      </w:pPr>
      <w:r>
        <w:t xml:space="preserve">inspect the detected subsequences</w:t>
      </w:r>
    </w:p>
    <w:p>
      <w:pPr>
        <w:pStyle w:val="Compact"/>
        <w:numPr>
          <w:ilvl w:val="0"/>
          <w:numId w:val="1001"/>
        </w:numPr>
      </w:pPr>
      <w:r>
        <w:t xml:space="preserve">plot the result</w:t>
      </w:r>
    </w:p>
    <w:bookmarkEnd w:id="22"/>
    <w:bookmarkStart w:id="23" w:name="how-to-read-this-walkthrough"/>
    <w:p>
      <w:pPr>
        <w:pStyle w:val="Heading2"/>
      </w:pPr>
      <w:r>
        <w:t xml:space="preserve">How to read this walkthrough</w:t>
      </w:r>
    </w:p>
    <w:p>
      <w:pPr>
        <w:pStyle w:val="FirstParagraph"/>
      </w:pPr>
      <w:r>
        <w:t xml:space="preserve">The code blocks below follow the same learning rhythm used throughout the collection: prepare the environment, choose the dataset, configure the method, run the analysis, and then inspect the result. Readers who are still learning time-series mining can use that order to understand not only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each command does, but also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appears at that stage of the workflow.</w:t>
      </w:r>
    </w:p>
    <w:p>
      <w:pPr>
        <w:pStyle w:val="BodyText"/>
      </w:pPr>
      <w:r>
        <w:t xml:space="preserve">As you go through the notebook, read the inline comments inside each chunk as the operational explanation and use the surrounding prose as the conceptual guide.</w:t>
      </w:r>
    </w:p>
    <w:bookmarkEnd w:id="23"/>
    <w:bookmarkStart w:id="34" w:name="walkthrough"/>
    <w:p>
      <w:pPr>
        <w:pStyle w:val="Heading2"/>
      </w:pPr>
      <w:r>
        <w:t xml:space="preserve">Walkthrough</w:t>
      </w:r>
    </w:p>
    <w:bookmarkStart w:id="24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We begin by organizing the environment, loading the packages, and selecting the dataset used in the notebook. This part is intentionally more direct: the goal is to make the starting point explicit before the method-specific reasoning begins.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bookmarkEnd w:id="24"/>
    <w:bookmarkStart w:id="28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final plots are not just illustrations. They help the reader connect the method’s internal output with the original series, making it easier to see why a point, range, motif, or symbolic pattern was emphasized and whether that emphasis is coherent with the stated objective of the example.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/home/gpca/harbinger/examples/tutorial/doc/10-motifs-and-discords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next step is to instantiate the method and, when necessary, fit it to the selected series. This is where the notebook makes its analytical choice explicit: the parameters chosen here determine what kind of pattern the detector or transformer will become sensitive to and how the later outputs should be interpreted.</w:t>
      </w:r>
    </w:p>
    <w:p>
      <w:pPr>
        <w:pStyle w:val="SourceCode"/>
      </w:pPr>
      <w:r>
        <w:rPr>
          <w:rStyle w:val="CommentTok"/>
        </w:rPr>
        <w:t xml:space="preserve"># Configure a symbolic motif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hmo_sax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 seq seqlen</w:t>
      </w:r>
      <w:r>
        <w:br/>
      </w:r>
      <w:r>
        <w:rPr>
          <w:rStyle w:val="VerbatimChar"/>
        </w:rPr>
        <w:t xml:space="preserve">## 1   1 FALSE       NA     15</w:t>
      </w:r>
      <w:r>
        <w:br/>
      </w:r>
      <w:r>
        <w:rPr>
          <w:rStyle w:val="VerbatimChar"/>
        </w:rPr>
        <w:t xml:space="preserve">## 2   2 FALSE       NA     15</w:t>
      </w:r>
      <w:r>
        <w:br/>
      </w:r>
      <w:r>
        <w:rPr>
          <w:rStyle w:val="VerbatimChar"/>
        </w:rPr>
        <w:t xml:space="preserve">## 3   3 FALSE       NA     15</w:t>
      </w:r>
      <w:r>
        <w:br/>
      </w:r>
      <w:r>
        <w:rPr>
          <w:rStyle w:val="VerbatimChar"/>
        </w:rPr>
        <w:t xml:space="preserve">## 4   4 FALSE       NA     15</w:t>
      </w:r>
      <w:r>
        <w:br/>
      </w:r>
      <w:r>
        <w:rPr>
          <w:rStyle w:val="VerbatimChar"/>
        </w:rPr>
        <w:t xml:space="preserve">## 5   5 FALSE       NA     15</w:t>
      </w:r>
      <w:r>
        <w:br/>
      </w:r>
      <w:r>
        <w:rPr>
          <w:rStyle w:val="VerbatimChar"/>
        </w:rPr>
        <w:t xml:space="preserve">## 6   6 FALSE       NA     15</w:t>
      </w:r>
    </w:p>
    <w:bookmarkEnd w:id="29"/>
    <w:bookmarkStart w:id="33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final plots are not just illustrations. They help the reader connect the method’s internal output with the original series, making it easier to see why a point, range, motif, or symbolic pattern was emphasized and whether that emphasis is coherent with the stated objective of the example.</w:t>
      </w:r>
    </w:p>
    <w:p>
      <w:pPr>
        <w:pStyle w:val="SourceCode"/>
      </w:pPr>
      <w:r>
        <w:rPr>
          <w:rStyle w:val="CommentTok"/>
        </w:rPr>
        <w:t xml:space="preserve"># Plot the motif-oriented result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tutorial/doc/10-motifs-and-discords_files/figure-docx/unnamed-chunk-4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5">
        <w:r>
          <w:rPr>
            <w:rStyle w:val="Hyperlink"/>
          </w:rPr>
          <w:t xml:space="preserve">doi:10.1007/978-3-031-75941-3</w:t>
        </w:r>
      </w:hyperlink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0" Target="media/rId30.png" /><Relationship Type="http://schemas.openxmlformats.org/officeDocument/2006/relationships/hyperlink" Id="rId3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2026-03-12T21:02:38Z</dcterms:created>
  <dcterms:modified xsi:type="dcterms:W3CDTF">2026-03-12T21:02:38Z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