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20">
        <w:r>
          <w:rPr>
            <w:rStyle w:val="Hyperlink"/>
          </w:rPr>
          <w:t xml:space="preserve">doi:10.1016/j.patrec.2011.08.019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if you want to learn how a smoother, control-chart-style detector can be used inside the standard Heimdall streaming loop.</w:t>
      </w:r>
    </w:p>
    <w:p>
      <w:pPr>
        <w:pStyle w:val="SourceCode"/>
      </w:pPr>
      <w:r>
        <w:rPr>
          <w:rStyle w:val="CommentTok"/>
        </w:rPr>
        <w:t xml:space="preserve"># Load Heimdall and the synthetic example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ECDD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ecdd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ECDD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and store the detected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points signaled by ECDD.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ecdd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2026-03-11T06:30:16Z</dcterms:created>
  <dcterms:modified xsi:type="dcterms:W3CDTF">2026-03-11T06:30:16Z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