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AEDD example</w:t>
      </w:r>
      <w:r>
        <w:br/>
      </w:r>
      <w:r>
        <w:rPr>
          <w:rStyle w:val="CommentTok"/>
        </w:rPr>
        <w:t xml:space="preserve"># AEDD is an unsupervised detector for virtual concept drift in multivariate data.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dataset2</w:t>
      </w:r>
    </w:p>
    <w:p>
      <w:pPr>
        <w:pStyle w:val="SourceCode"/>
      </w:pPr>
      <w:r>
        <w:rPr>
          <w:rStyle w:val="CommentTok"/>
        </w:rPr>
        <w:t xml:space="preserve"># Plot monitored variables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aed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aedd_files/figure-docx/unnamed-chunk-4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dfr_aedd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encoding_size=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ae_class=</w:t>
      </w:r>
      <w:r>
        <w:rPr>
          <w:rStyle w:val="NormalTok"/>
        </w:rPr>
        <w:t xml:space="preserve">autoenc_ed,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monitoring_step=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256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monitored_features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serie[i, monitored_features])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280 280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eimdall/examples/doc/dfr_aedd_files/figure-docx/unnamed-chunk-8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2026-03-11T06:07:44Z</dcterms:created>
  <dcterms:modified xsi:type="dcterms:W3CDTF">2026-03-11T06:07:44Z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