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dfr_kswin Online Prediction Example</w:t>
      </w:r>
    </w:p>
    <w:bookmarkStart w:id="17" w:name="kswin-example"/>
    <w:p>
      <w:pPr>
        <w:pStyle w:val="Heading1"/>
      </w:pPr>
      <w:r>
        <w:t xml:space="preserve">KSWIN Example</w:t>
      </w:r>
    </w:p>
    <w:p>
      <w:pPr>
        <w:pStyle w:val="FirstParagraph"/>
      </w:pPr>
      <w:r>
        <w:t xml:space="preserve">KSWIN applies a Kolmogorov-Smirnov test between a recent window and a reference sample from older observations. It is a practical detector when you want to identify changes in the distribution of a numeric stream.</w:t>
      </w:r>
    </w:p>
    <w:p>
      <w:pPr>
        <w:pStyle w:val="BodyText"/>
      </w:pPr>
      <w:r>
        <w:t xml:space="preserve">In this example, KSWIN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Raab, C., Heusinger, M., and Schleif, F.-M. (2020).</w:t>
      </w:r>
      <w:r>
        <w:t xml:space="preserve"> </w:t>
      </w:r>
      <w:r>
        <w:rPr>
          <w:i/>
          <w:iCs/>
        </w:rPr>
        <w:t xml:space="preserve">Reactive soft prototype computing for concept drift streams</w:t>
      </w:r>
      <w:r>
        <w:t xml:space="preserve">. Neurocomputing, 416, 340-351.</w:t>
      </w:r>
      <w:r>
        <w:t xml:space="preserve"> </w:t>
      </w:r>
      <w:hyperlink r:id="rId9">
        <w:r>
          <w:rPr>
            <w:rStyle w:val="Hyperlink"/>
          </w:rPr>
          <w:t xml:space="preserve">doi:10.1016/j.neucom.2019.11.111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distribution-based central-tendency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uv_vct_real_drift</w:t>
      </w:r>
    </w:p>
    <w:p>
      <w:pPr>
        <w:pStyle w:val="SourceCode"/>
      </w:pPr>
      <w:r>
        <w:rPr>
          <w:rStyle w:val="CommentTok"/>
        </w:rPr>
        <w:t xml:space="preserve"># Plot the binary stream monitored by ADWIN.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target)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kswin_files/18cc50a9145c1c10dcdc71b6b3ad9a975e8c37e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Using KSWIN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only one 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'FALSE'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two classes</w:t>
      </w:r>
      <w:r>
        <w:br/>
      </w:r>
      <w:r>
        <w:rPr>
          <w:rStyle w:val="NormalTok"/>
        </w:rPr>
        <w:t xml:space="preserve">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  <w:r>
        <w:br/>
      </w: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0.0007593632</w:t>
      </w:r>
      <w:r>
        <w:br/>
      </w:r>
      <w:r>
        <w:rPr>
          <w:rStyle w:val="VerbatimChar"/>
        </w:rPr>
        <w:t xml:space="preserve">## 2           3 33  0 17  0       0 0.0075004101</w:t>
      </w:r>
      <w:r>
        <w:br/>
      </w:r>
      <w:r>
        <w:rPr>
          <w:rStyle w:val="VerbatimChar"/>
        </w:rPr>
        <w:t xml:space="preserve">## 3           4 27  0 23  0       0 0.0070099831</w:t>
      </w:r>
      <w:r>
        <w:br/>
      </w:r>
      <w:r>
        <w:rPr>
          <w:rStyle w:val="VerbatimChar"/>
        </w:rPr>
        <w:t xml:space="preserve">## 4           5 26  0 23  1       0 0.0074594021</w:t>
      </w:r>
      <w:r>
        <w:br/>
      </w:r>
      <w:r>
        <w:rPr>
          <w:rStyle w:val="VerbatimChar"/>
        </w:rPr>
        <w:t xml:space="preserve">## 5           6  0  0 23 27       0 0.0075919628</w:t>
      </w:r>
      <w:r>
        <w:br/>
      </w:r>
      <w:r>
        <w:rPr>
          <w:rStyle w:val="VerbatimChar"/>
        </w:rPr>
        <w:t xml:space="preserve">## 6           7  0  0  0  0       1 0.0041258335</w:t>
      </w:r>
      <w:r>
        <w:br/>
      </w:r>
      <w:r>
        <w:rPr>
          <w:rStyle w:val="VerbatimChar"/>
        </w:rPr>
        <w:t xml:space="preserve">## 7           8 24  1 25  0       0 0.0069954395</w:t>
      </w:r>
      <w:r>
        <w:br/>
      </w:r>
      <w:r>
        <w:rPr>
          <w:rStyle w:val="VerbatimChar"/>
        </w:rPr>
        <w:t xml:space="preserve">## 8           9 19  0 31  0       0 0.0068430901</w:t>
      </w:r>
      <w:r>
        <w:br/>
      </w:r>
      <w:r>
        <w:rPr>
          <w:rStyle w:val="VerbatimChar"/>
        </w:rPr>
        <w:t xml:space="preserve">## 9          10 25  0 25  0       0 0.0096142292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0.993548387096774 Recall 0.846153846153846 F1 0.913946587537092 Accuracy 0.917142857142857"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kswin_files/a28028fa85709b39e65f9857bdf95250ac21585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9" Target="doi:10.1016/j.neucom.2019.11.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016/j.neucom.2019.11.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dfr_kswin Online Prediction Example</dc:title>
  <dc:creator/>
  <cp:keywords/>
  <dcterms:created xsi:type="dcterms:W3CDTF">2026-05-20T18:39:29Z</dcterms:created>
  <dcterms:modified xsi:type="dcterms:W3CDTF">2026-05-20T18:39:29Z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