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dfr_kswin Example</w:t>
      </w:r>
    </w:p>
    <w:bookmarkStart w:id="27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20">
        <w:r>
          <w:rPr>
            <w:rStyle w:val="Hyperlink"/>
          </w:rPr>
          <w:t xml:space="preserve">doi:10.1016/j.neucom.2019.11.111</w:t>
        </w:r>
      </w:hyperlink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classical window-based statistical test inside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univariate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numeric stream used by the detector.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KSWIN with explicit window parameters.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KSWIN raised drift alarms.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ba96618850f51d5c2559243c2f95f19edf3e33a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dfr_kswin Example</dc:title>
  <dc:creator/>
  <cp:keywords/>
  <dcterms:created xsi:type="dcterms:W3CDTF">2026-05-05T18:26:18Z</dcterms:created>
  <dcterms:modified xsi:type="dcterms:W3CDTF">2026-05-05T18:26:18Z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