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dfr_aedd Example</w:t>
      </w:r>
    </w:p>
    <w:bookmarkStart w:id="31"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20">
        <w:r>
          <w:rPr>
            <w:rStyle w:val="Hyperlink"/>
          </w:rPr>
          <w:t xml:space="preserve">doi:10.1109/ICDMW58026.2022.00109</w:t>
        </w:r>
      </w:hyperlink>
    </w:p>
    <w:bookmarkStart w:id="30" w:name="learning-goal"/>
    <w:p>
      <w:pPr>
        <w:pStyle w:val="Heading2"/>
      </w:pPr>
      <w:r>
        <w:t xml:space="preserve">Learning goal</w:t>
      </w:r>
    </w:p>
    <w:p>
      <w:pPr>
        <w:pStyle w:val="FirstParagraph"/>
      </w:pPr>
      <w:r>
        <w:t xml:space="preserve">This example introduces the multivariate and autoencoder-based workflow in Heimdall:</w:t>
      </w:r>
    </w:p>
    <w:p>
      <w:pPr>
        <w:pStyle w:val="Compact"/>
        <w:numPr>
          <w:ilvl w:val="0"/>
          <w:numId w:val="1001"/>
        </w:numPr>
      </w:pPr>
      <w:r>
        <w:t xml:space="preserve">choose the monitored features;</w:t>
      </w:r>
    </w:p>
    <w:p>
      <w:pPr>
        <w:pStyle w:val="Compact"/>
        <w:numPr>
          <w:ilvl w:val="0"/>
          <w:numId w:val="1001"/>
        </w:numPr>
      </w:pPr>
      <w:r>
        <w:t xml:space="preserve">instantiate AEDD with an autoencoder backend;</w:t>
      </w:r>
    </w:p>
    <w:p>
      <w:pPr>
        <w:pStyle w:val="Compact"/>
        <w:numPr>
          <w:ilvl w:val="0"/>
          <w:numId w:val="1001"/>
        </w:numPr>
      </w:pPr>
      <w:r>
        <w:t xml:space="preserve">update the detector row by row;</w:t>
      </w:r>
    </w:p>
    <w:p>
      <w:pPr>
        <w:pStyle w:val="Compact"/>
        <w:numPr>
          <w:ilvl w:val="0"/>
          <w:numId w:val="1001"/>
        </w:numPr>
      </w:pPr>
      <w:r>
        <w:t xml:space="preserve">inspect the detected drifts visually.</w:t>
      </w:r>
    </w:p>
    <w:p>
      <w:pPr>
        <w:pStyle w:val="SourceCode"/>
      </w:pPr>
      <w:r>
        <w:rPr>
          <w:rStyle w:val="CommentTok"/>
        </w:rPr>
        <w:t xml:space="preserve"># Load the autoencoder backend and Heimdall.</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so the example can be reproduced consistently.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multivariate synthetic stream.</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mv_vct_real_drift</w:t>
      </w:r>
    </w:p>
    <w:p>
      <w:pPr>
        <w:pStyle w:val="SourceCode"/>
      </w:pPr>
      <w:r>
        <w:rPr>
          <w:rStyle w:val="CommentTok"/>
        </w:rPr>
        <w:t xml:space="preserve"># Plot the monitored variables before running the detector.</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serie1)</w:t>
      </w:r>
    </w:p>
    <w:p>
      <w:pPr>
        <w:pStyle w:val="FirstParagraph"/>
      </w:pPr>
      <w:r>
        <w:drawing>
          <wp:inline>
            <wp:extent cx="4620126" cy="3696101"/>
            <wp:effectExtent b="0" l="0" r="0" t="0"/>
            <wp:docPr descr="" title="" id="22" name="Picture"/>
            <a:graphic>
              <a:graphicData uri="http://schemas.openxmlformats.org/drawingml/2006/picture">
                <pic:pic>
                  <pic:nvPicPr>
                    <pic:cNvPr descr="/home/lucas/heimdall/examples/1_detection/doc/dfr_aedd_files/10c452d3b461d838d6d9c0ff1b9d760a1f0578b3.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p>
    <w:p>
      <w:pPr>
        <w:pStyle w:val="FirstParagraph"/>
      </w:pPr>
      <w:r>
        <w:drawing>
          <wp:inline>
            <wp:extent cx="4620126" cy="3696101"/>
            <wp:effectExtent b="0" l="0" r="0" t="0"/>
            <wp:docPr descr="" title="" id="25" name="Picture"/>
            <a:graphic>
              <a:graphicData uri="http://schemas.openxmlformats.org/drawingml/2006/picture">
                <pic:pic>
                  <pic:nvPicPr>
                    <pic:cNvPr descr="/home/lucas/heimdall/examples/1_detection/doc/dfr_aedd_files/53865f89264201d9acb601d3060a9e7c417d0558.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AEDD with a compact latent representation.</w:t>
      </w:r>
      <w:r>
        <w:br/>
      </w:r>
      <w:r>
        <w:rPr>
          <w:rStyle w:val="NormalTok"/>
        </w:rPr>
        <w:t xml:space="preserve">model </w:t>
      </w:r>
      <w:r>
        <w:rPr>
          <w:rStyle w:val="OtherTok"/>
        </w:rPr>
        <w:t xml:space="preserve">&lt;-</w:t>
      </w:r>
      <w:r>
        <w:rPr>
          <w:rStyle w:val="NormalTok"/>
        </w:rPr>
        <w:t xml:space="preserve"> </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w:t>
      </w:r>
      <w:r>
        <w:br/>
      </w:r>
      <w:r>
        <w:rPr>
          <w:rStyle w:val="NormalTok"/>
        </w:rPr>
        <w:t xml:space="preserve">  </w:t>
      </w:r>
      <w:r>
        <w:rPr>
          <w:rStyle w:val="AttributeTok"/>
        </w:rPr>
        <w:t xml:space="preserve">ae_class=</w:t>
      </w:r>
      <w:r>
        <w:rPr>
          <w:rStyle w:val="NormalTok"/>
        </w:rPr>
        <w:t xml:space="preserve">autoenc_ed,</w:t>
      </w:r>
      <w:r>
        <w:br/>
      </w:r>
      <w:r>
        <w:rPr>
          <w:rStyle w:val="NormalTok"/>
        </w:rPr>
        <w:t xml:space="preserve">  </w:t>
      </w:r>
      <w:r>
        <w:rPr>
          <w:rStyle w:val="AttributeTok"/>
        </w:rPr>
        <w:t xml:space="preserve">batch_size=</w:t>
      </w:r>
      <w:r>
        <w:rPr>
          <w:rStyle w:val="DecValTok"/>
        </w:rPr>
        <w:t xml:space="preserve">64</w:t>
      </w:r>
      <w:r>
        <w:rPr>
          <w:rStyle w:val="NormalTok"/>
        </w:rPr>
        <w:t xml:space="preserve">,</w:t>
      </w:r>
      <w:r>
        <w:br/>
      </w:r>
      <w:r>
        <w:rPr>
          <w:rStyle w:val="NormalTok"/>
        </w:rPr>
        <w:t xml:space="preserve">  </w:t>
      </w:r>
      <w:r>
        <w:rPr>
          <w:rStyle w:val="AttributeTok"/>
        </w:rPr>
        <w:t xml:space="preserve">monitoring_step=</w:t>
      </w:r>
      <w:r>
        <w:rPr>
          <w:rStyle w:val="DecValTok"/>
        </w:rPr>
        <w:t xml:space="preserve">10</w:t>
      </w:r>
      <w:r>
        <w:rPr>
          <w:rStyle w:val="NormalTok"/>
        </w:rPr>
        <w:t xml:space="preserve">,</w:t>
      </w:r>
      <w:r>
        <w:br/>
      </w:r>
      <w:r>
        <w:rPr>
          <w:rStyle w:val="NormalTok"/>
        </w:rPr>
        <w:t xml:space="preserve">  </w:t>
      </w:r>
      <w:r>
        <w:rPr>
          <w:rStyle w:val="AttributeTok"/>
        </w:rPr>
        <w:t xml:space="preserve">window_size=</w:t>
      </w:r>
      <w:r>
        <w:rPr>
          <w:rStyle w:val="DecValTok"/>
        </w:rPr>
        <w:t xml:space="preserve">256</w:t>
      </w:r>
      <w:r>
        <w:br/>
      </w:r>
      <w:r>
        <w:rPr>
          <w:rStyle w:val="NormalTok"/>
        </w:rPr>
        <w:t xml:space="preserve">)</w:t>
      </w:r>
      <w:r>
        <w:br/>
      </w:r>
      <w:r>
        <w:rPr>
          <w:rStyle w:val="NormalTok"/>
        </w:rPr>
        <w:t xml:space="preserve">monitored_features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p>
    <w:p>
      <w:pPr>
        <w:pStyle w:val="SourceCode"/>
      </w:pPr>
      <w:r>
        <w:rPr>
          <w:rStyle w:val="CommentTok"/>
        </w:rPr>
        <w:t xml:space="preserve"># Update AEDD row by row using only the selected monitored features.</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serie[i, monitored_features])</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detected drift points.</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260 260  TRUE drift</w:t>
      </w:r>
    </w:p>
    <w:p>
      <w:pPr>
        <w:pStyle w:val="SourceCode"/>
      </w:pPr>
      <w:r>
        <w:rPr>
          <w:rStyle w:val="VerbatimChar"/>
        </w:rPr>
        <w:t xml:space="preserve">##     idx event  type</w:t>
      </w:r>
      <w:r>
        <w:br/>
      </w:r>
      <w:r>
        <w:rPr>
          <w:rStyle w:val="VerbatimChar"/>
        </w:rPr>
        <w:t xml:space="preserve">## 270 270  TRUE drift</w:t>
      </w:r>
    </w:p>
    <w:p>
      <w:pPr>
        <w:pStyle w:val="SourceCode"/>
      </w:pPr>
      <w:r>
        <w:rPr>
          <w:rStyle w:val="CommentTok"/>
        </w:rPr>
        <w:t xml:space="preserve"># Display the alarms on top of one monitored variable.</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lucas/heimdall/examples/1_detection/doc/dfr_aedd_files/f68a06aceb76ceea7a88d8cd90cc422444fe9245.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'Successfull run at'</w:t>
      </w:r>
      <w:r>
        <w:rPr>
          <w:rStyle w:val="NormalTok"/>
        </w:rPr>
        <w:t xml:space="preserve">, </w:t>
      </w:r>
      <w:r>
        <w:rPr>
          <w:rStyle w:val="FunctionTok"/>
        </w:rPr>
        <w:t xml:space="preserve">Sys.time</w:t>
      </w:r>
      <w:r>
        <w:rPr>
          <w:rStyle w:val="NormalTok"/>
        </w:rPr>
        <w:t xml:space="preserve">()))</w:t>
      </w:r>
    </w:p>
    <w:p>
      <w:pPr>
        <w:pStyle w:val="SourceCode"/>
      </w:pPr>
      <w:r>
        <w:rPr>
          <w:rStyle w:val="VerbatimChar"/>
        </w:rPr>
        <w:t xml:space="preserve">## [1] "Successfull run at 2026-05-05 14:12:36.947103"</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0"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20"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dfr_aedd Example</dc:title>
  <dc:creator/>
  <cp:keywords/>
  <dcterms:created xsi:type="dcterms:W3CDTF">2026-05-05T17:12:37Z</dcterms:created>
  <dcterms:modified xsi:type="dcterms:W3CDTF">2026-05-05T17:12:37Z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