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dfr_ddm Online Prediction Example</w:t>
      </w:r>
    </w:p>
    <w:bookmarkStart w:id="20" w:name="ddm-example"/>
    <w:p>
      <w:pPr>
        <w:pStyle w:val="Heading1"/>
      </w:pPr>
      <w:r>
        <w:t xml:space="preserve">DDM Example</w:t>
      </w:r>
    </w:p>
    <w:p>
      <w:pPr>
        <w:pStyle w:val="FirstParagraph"/>
      </w:pPr>
      <w:r>
        <w:t xml:space="preserve">DDM monitors the online error rate of a predictive process under the assumption that a stable model should keep its error under control over time. Because it operates on model errors, it is a detector of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Gama, J., Medas, P., Castillo, G., and Rodrigues, P. P. (2004).</w:t>
      </w:r>
      <w:r>
        <w:t xml:space="preserve"> </w:t>
      </w:r>
      <w:r>
        <w:rPr>
          <w:i/>
          <w:iCs/>
        </w:rPr>
        <w:t xml:space="preserve">Learning with drift detection</w:t>
      </w:r>
      <w:r>
        <w:t xml:space="preserve">. SBIA.</w:t>
      </w:r>
      <w:r>
        <w:t xml:space="preserve"> </w:t>
      </w:r>
      <w:hyperlink r:id="rId9">
        <w:r>
          <w:rPr>
            <w:rStyle w:val="Hyperlink"/>
          </w:rPr>
          <w:t xml:space="preserve">doi:10.1007/978-3-540-28645-5_29</w:t>
        </w:r>
      </w:hyperlink>
    </w:p>
    <w:bookmarkStart w:id="19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e0ddae6415d9c76cb1f11d6de26be87271397d2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343c442a1f5f7357e2274e01f2c842d3a4150c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batch_size, </w:t>
      </w:r>
      <w:r>
        <w:rPr>
          <w:rStyle w:val="AttributeTok"/>
        </w:rPr>
        <w:t xml:space="preserve">out_control_level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0.0006644726</w:t>
      </w:r>
      <w:r>
        <w:br/>
      </w:r>
      <w:r>
        <w:rPr>
          <w:rStyle w:val="VerbatimChar"/>
        </w:rPr>
        <w:t xml:space="preserve">## 2           3 20  0 26  4       0 0.0055990219</w:t>
      </w:r>
      <w:r>
        <w:br/>
      </w:r>
      <w:r>
        <w:rPr>
          <w:rStyle w:val="VerbatimChar"/>
        </w:rPr>
        <w:t xml:space="preserve">## 3           4 20  0 29  1       0 0.0030772686</w:t>
      </w:r>
      <w:r>
        <w:br/>
      </w:r>
      <w:r>
        <w:rPr>
          <w:rStyle w:val="VerbatimChar"/>
        </w:rPr>
        <w:t xml:space="preserve">## 4           5 20  3 23  4       0 0.0033035278</w:t>
      </w:r>
      <w:r>
        <w:br/>
      </w:r>
      <w:r>
        <w:rPr>
          <w:rStyle w:val="VerbatimChar"/>
        </w:rPr>
        <w:t xml:space="preserve">## 5           6  2 18  1 29       0 0.0032312870</w:t>
      </w:r>
      <w:r>
        <w:br/>
      </w:r>
      <w:r>
        <w:rPr>
          <w:rStyle w:val="VerbatimChar"/>
        </w:rPr>
        <w:t xml:space="preserve">## 6           7  0  0  0  0       1 0.0025312901</w:t>
      </w:r>
      <w:r>
        <w:br/>
      </w:r>
      <w:r>
        <w:rPr>
          <w:rStyle w:val="VerbatimChar"/>
        </w:rPr>
        <w:t xml:space="preserve">## 7           8 18  4 25  3       0 0.0063340664</w:t>
      </w:r>
      <w:r>
        <w:br/>
      </w:r>
      <w:r>
        <w:rPr>
          <w:rStyle w:val="VerbatimChar"/>
        </w:rPr>
        <w:t xml:space="preserve">## 8           9 21  4 17  8       0 0.0030303001</w:t>
      </w:r>
      <w:r>
        <w:br/>
      </w:r>
      <w:r>
        <w:rPr>
          <w:rStyle w:val="VerbatimChar"/>
        </w:rPr>
        <w:t xml:space="preserve">## 9          10 20  1 25  4       0 0.0033054352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3b853fc0a17cf337f845ef69ff1196bacd70569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hyperlink" Id="rId9" Target="doi:10.1007/978-3-540-28645-5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07/978-3-540-28645-5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dfr_ddm Online Prediction Example</dc:title>
  <dc:creator/>
  <cp:keywords/>
  <dcterms:created xsi:type="dcterms:W3CDTF">2026-05-21T19:07:38Z</dcterms:created>
  <dcterms:modified xsi:type="dcterms:W3CDTF">2026-05-21T19:07:38Z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