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dfr_eddm Online Prediction Example</w:t>
      </w:r>
    </w:p>
    <w:bookmarkStart w:id="19" w:name="eddm-example"/>
    <w:p>
      <w:pPr>
        <w:pStyle w:val="Heading1"/>
      </w:pPr>
      <w:r>
        <w:t xml:space="preserve">EDDM Example</w:t>
      </w:r>
    </w:p>
    <w:p>
      <w:pPr>
        <w:pStyle w:val="FirstParagraph"/>
      </w:pPr>
      <w:r>
        <w:t xml:space="preserve">EDDM extends DDM by monitoring the distance between classification errors instead of only the error rate. This makes it especially useful when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 </w:t>
      </w:r>
      <w:r>
        <w:t xml:space="preserve">is gradual rather than abrupt.</w:t>
      </w:r>
    </w:p>
    <w:p>
      <w:pPr>
        <w:pStyle w:val="BodyText"/>
      </w:pPr>
      <w:r>
        <w:t xml:space="preserve">Reference: Baena-Garcia, M., del Campo-Avila, J., Fidalgo, R., Bifet, A., Gavaldà, R., and Morales-Bueno, R. (2006).</w:t>
      </w:r>
      <w:r>
        <w:t xml:space="preserve"> </w:t>
      </w:r>
      <w:r>
        <w:rPr>
          <w:i/>
          <w:iCs/>
        </w:rPr>
        <w:t xml:space="preserve">Early drift detection method</w:t>
      </w:r>
      <w:r>
        <w:t xml:space="preserve">. Fourth International Workshop on Knowledge Discovery from Data Streams.</w:t>
      </w:r>
    </w:p>
    <w:bookmarkStart w:id="18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eddm_files/e0ddae6415d9c76cb1f11d6de26be87271397d2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eddm_files/343c442a1f5f7357e2274e01f2c842d3a4150c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dfr_eddm</w:t>
      </w:r>
      <w:r>
        <w:rPr>
          <w:rStyle w:val="NormalTok"/>
        </w:rPr>
        <w:t xml:space="preserve">(), </w:t>
      </w:r>
      <w:r>
        <w:rPr>
          <w:rStyle w:val="CommentTok"/>
        </w:rPr>
        <w:t xml:space="preserve"># Using EDDM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0.0006492138</w:t>
      </w:r>
      <w:r>
        <w:br/>
      </w:r>
      <w:r>
        <w:rPr>
          <w:rStyle w:val="VerbatimChar"/>
        </w:rPr>
        <w:t xml:space="preserve">## 2           3 20  0 26  4       0 0.0055997372</w:t>
      </w:r>
      <w:r>
        <w:br/>
      </w:r>
      <w:r>
        <w:rPr>
          <w:rStyle w:val="VerbatimChar"/>
        </w:rPr>
        <w:t xml:space="preserve">## 3           4 20  0 29  1       0 0.0027282238</w:t>
      </w:r>
      <w:r>
        <w:br/>
      </w:r>
      <w:r>
        <w:rPr>
          <w:rStyle w:val="VerbatimChar"/>
        </w:rPr>
        <w:t xml:space="preserve">## 4           5 20  3 23  4       0 0.0026872158</w:t>
      </w:r>
      <w:r>
        <w:br/>
      </w:r>
      <w:r>
        <w:rPr>
          <w:rStyle w:val="VerbatimChar"/>
        </w:rPr>
        <w:t xml:space="preserve">## 5           6  2 18  1 29       0 0.0026707649</w:t>
      </w:r>
      <w:r>
        <w:br/>
      </w:r>
      <w:r>
        <w:rPr>
          <w:rStyle w:val="VerbatimChar"/>
        </w:rPr>
        <w:t xml:space="preserve">## 6           7  0  0  0  0       1 0.0025281906</w:t>
      </w:r>
      <w:r>
        <w:br/>
      </w:r>
      <w:r>
        <w:rPr>
          <w:rStyle w:val="VerbatimChar"/>
        </w:rPr>
        <w:t xml:space="preserve">## 7           8 18  4 25  3       0 0.0055201054</w:t>
      </w:r>
      <w:r>
        <w:br/>
      </w:r>
      <w:r>
        <w:rPr>
          <w:rStyle w:val="VerbatimChar"/>
        </w:rPr>
        <w:t xml:space="preserve">## 8           9 21  4 17  8       0 0.0027887821</w:t>
      </w:r>
      <w:r>
        <w:br/>
      </w:r>
      <w:r>
        <w:rPr>
          <w:rStyle w:val="VerbatimChar"/>
        </w:rPr>
        <w:t xml:space="preserve">## 9          10 20  1 25  4       0 0.0030937195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0.801324503311258 Recall 0.695402298850575 F1 0.744615384615385 Accuracy 0.762857142857143"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eddm_files/3b853fc0a17cf337f845ef69ff1196bacd70569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dfr_eddm Online Prediction Example</dc:title>
  <dc:creator/>
  <cp:keywords/>
  <dcterms:created xsi:type="dcterms:W3CDTF">2026-05-21T19:07:39Z</dcterms:created>
  <dcterms:modified xsi:type="dcterms:W3CDTF">2026-05-21T19:07:39Z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