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mrmr-lag-mapping"/>
    <w:p>
      <w:pPr>
        <w:pStyle w:val="Heading2"/>
      </w:pPr>
      <w:r>
        <w:t xml:space="preserve">mRMR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mrmr</w:t>
      </w:r>
      <w:r>
        <w:t xml:space="preserve"> </w:t>
      </w:r>
      <w:r>
        <w:t xml:space="preserve">greedily favors lags that are relevant to the target while reducing redundancy among already selected lags.</w:t>
      </w:r>
      <w:r>
        <w:t xml:space="preserve"> </w:t>
      </w:r>
      <w:r>
        <w:t xml:space="preserve">- It is a stronger supervised baseline than pure mutual-information ranking when many lagged attributes carry overlapping information.</w:t>
      </w:r>
    </w:p>
    <w:p>
      <w:pPr>
        <w:pStyle w:val="BodyText"/>
      </w:pPr>
      <w:r>
        <w:t xml:space="preserve">Didactic goal: balance predictive relevance and diversity inside the chosen lag subset.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mRMR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12-mrmr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5 2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"t5" "t2"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 0.1381953 -0.3435132 -0.3435132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0.6024704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0.02053161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0.8226674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0.02053161 0.6024704 0.8226674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2026-05-14T20:53:38Z</dcterms:created>
  <dcterms:modified xsi:type="dcterms:W3CDTF">2026-05-14T20:53:38Z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