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No filter: The identity filter simply forwards the input series without modification. It serves as a baseline to quantify the marginal effect of any smoothing step in a pipeline.</w:t>
      </w:r>
    </w:p>
    <w:p>
      <w:pPr>
        <w:pStyle w:val="BodyText"/>
      </w:pPr>
      <w:r>
        <w:t xml:space="preserve">Objective: Show the identity filter pipeline (no change), useful to compare with other filters and validate the interface.</w:t>
      </w:r>
    </w:p>
    <w:p>
      <w:pPr>
        <w:pStyle w:val="SourceCode"/>
      </w:pPr>
      <w:r>
        <w:rPr>
          <w:rStyle w:val="CommentTok"/>
        </w:rPr>
        <w:t xml:space="preserve"># Filter - none (identity)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SourceCode"/>
      </w:pPr>
      <w:r>
        <w:rPr>
          <w:rStyle w:val="CommentTok"/>
        </w:rPr>
        <w:t xml:space="preserve"># Series for study with artificial noise and spikes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spike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Noisy series visualization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C:/Git/dal/tspredit/examples/filter/doc/ts_fil_none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Applying the identity filter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ts_fil_none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C:/Git/dal/tspredit/examples/filter/doc/ts_fil_none_files/figure-docx/unnamed-chunk-5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C. M. Bishop (2006). Pattern Recognition and Machine Learning. Springer.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2025-11-06T14:47:16Z</dcterms:created>
  <dcterms:modified xsi:type="dcterms:W3CDTF">2025-11-06T14:47:16Z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