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No augmentation: The identity augmentation passes windows through unchanged. Use it to benchmark the incremental benefit of augmentation strategies.</w:t>
      </w:r>
    </w:p>
    <w:p>
      <w:pPr>
        <w:pStyle w:val="BodyText"/>
      </w:pPr>
      <w:r>
        <w:t xml:space="preserve">Objective: Demonstrate a no-augmentation flow (no changes), keeping the interface and indices for comparisons.</w:t>
      </w:r>
    </w:p>
    <w:p>
      <w:pPr>
        <w:pStyle w:val="SourceCode"/>
      </w:pPr>
      <w:r>
        <w:rPr>
          <w:rStyle w:val="CommentTok"/>
        </w:rPr>
        <w:t xml:space="preserve"># Time series augmentation - none (identity)</w:t>
      </w:r>
      <w:r>
        <w:br/>
      </w:r>
      <w:r>
        <w:br/>
      </w:r>
      <w:r>
        <w:rPr>
          <w:rStyle w:val="CommentTok"/>
        </w:rPr>
        <w:t xml:space="preserve"># Installing the package (if needed)</w:t>
      </w:r>
      <w:r>
        <w:br/>
      </w:r>
      <w:r>
        <w:rPr>
          <w:rStyle w:val="CommentTok"/>
        </w:rPr>
        <w:t xml:space="preserve">#install.packages("tspredit")</w:t>
      </w:r>
    </w:p>
    <w:p>
      <w:pPr>
        <w:pStyle w:val="SourceCode"/>
      </w:pPr>
      <w:r>
        <w:rPr>
          <w:rStyle w:val="CommentTok"/>
        </w:rPr>
        <w:t xml:space="preserve"># Loading the packages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(tspredit) </w:t>
      </w:r>
    </w:p>
    <w:p>
      <w:pPr>
        <w:pStyle w:val="SourceCode"/>
      </w:pPr>
      <w:r>
        <w:rPr>
          <w:rStyle w:val="CommentTok"/>
        </w:rPr>
        <w:t xml:space="preserve"># Series for study</w:t>
      </w:r>
      <w:r>
        <w:br/>
      </w:r>
      <w:r>
        <w:br/>
      </w:r>
      <w:r>
        <w:rPr>
          <w:rStyle w:val="FunctionTok"/>
        </w:rPr>
        <w:t xml:space="preserve">data</w:t>
      </w:r>
      <w:r>
        <w:rPr>
          <w:rStyle w:val="NormalTok"/>
        </w:rPr>
        <w:t xml:space="preserve">(tsd)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rPr>
          <w:rStyle w:val="FunctionTok"/>
        </w:rPr>
        <w:t xml:space="preserve">plot_ts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x=</w:t>
      </w:r>
      <w:r>
        <w:rPr>
          <w:rStyle w:val="NormalTok"/>
        </w:rPr>
        <w:t xml:space="preserve">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x, </w:t>
      </w:r>
      <w:r>
        <w:rPr>
          <w:rStyle w:val="AttributeTok"/>
        </w:rPr>
        <w:t xml:space="preserve">y=</w:t>
      </w:r>
      <w:r>
        <w:rPr>
          <w:rStyle w:val="NormalTok"/>
        </w:rPr>
        <w:t xml:space="preserve">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text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size=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/home/gpca/tspredit/examples/augment/doc/ts_aug_none_files/figure-docx/unnamed-chunk-3-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Sliding windows</w:t>
      </w:r>
      <w:r>
        <w:br/>
      </w:r>
      <w:r>
        <w:br/>
      </w:r>
      <w:r>
        <w:rPr>
          <w:rStyle w:val="NormalTok"/>
        </w:rPr>
        <w:t xml:space="preserve">sw_size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xw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ts_data</w:t>
      </w:r>
      <w:r>
        <w:rPr>
          <w:rStyle w:val="NormalTok"/>
        </w:rPr>
        <w:t xml:space="preserve">(tsd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y, sw_size)</w:t>
      </w:r>
    </w:p>
    <w:p>
      <w:pPr>
        <w:pStyle w:val="SourceCode"/>
      </w:pPr>
      <w:r>
        <w:rPr>
          <w:rStyle w:val="CommentTok"/>
        </w:rPr>
        <w:t xml:space="preserve"># Augmentation (none)</w:t>
      </w:r>
      <w:r>
        <w:br/>
      </w:r>
      <w:r>
        <w:br/>
      </w:r>
      <w:r>
        <w:rPr>
          <w:rStyle w:val="NormalTok"/>
        </w:rPr>
        <w:t xml:space="preserve">augment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ts_aug_none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augment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(augment, xw)</w:t>
      </w:r>
      <w:r>
        <w:br/>
      </w:r>
      <w:r>
        <w:rPr>
          <w:rStyle w:val="NormalTok"/>
        </w:rPr>
        <w:t xml:space="preserve">xa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transform</w:t>
      </w:r>
      <w:r>
        <w:rPr>
          <w:rStyle w:val="NormalTok"/>
        </w:rPr>
        <w:t xml:space="preserve">(augment, xw)</w:t>
      </w:r>
      <w:r>
        <w:br/>
      </w:r>
      <w:r>
        <w:rPr>
          <w:rStyle w:val="NormalTok"/>
        </w:rPr>
        <w:t xml:space="preserve">idx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(xa, </w:t>
      </w:r>
      <w:r>
        <w:rPr>
          <w:rStyle w:val="StringTok"/>
        </w:rPr>
        <w:t xml:space="preserve">"idx"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ts_head</w:t>
      </w:r>
      <w:r>
        <w:rPr>
          <w:rStyle w:val="NormalTok"/>
        </w:rPr>
        <w:t xml:space="preserve">(xa)</w:t>
      </w:r>
    </w:p>
    <w:p>
      <w:pPr>
        <w:pStyle w:val="SourceCode"/>
      </w:pPr>
      <w:r>
        <w:rPr>
          <w:rStyle w:val="VerbatimChar"/>
        </w:rPr>
        <w:t xml:space="preserve">##             t9        t8        t7        t6        t5        t4        t3        t2         t1         t0</w:t>
      </w:r>
      <w:r>
        <w:br/>
      </w:r>
      <w:r>
        <w:rPr>
          <w:rStyle w:val="VerbatimChar"/>
        </w:rPr>
        <w:t xml:space="preserve">## [1,] 0.0000000 0.2474040 0.4794255 0.6816388 0.8414710 0.9489846 0.9974950 0.9839859  0.9092974  0.7780732</w:t>
      </w:r>
      <w:r>
        <w:br/>
      </w:r>
      <w:r>
        <w:rPr>
          <w:rStyle w:val="VerbatimChar"/>
        </w:rPr>
        <w:t xml:space="preserve">## [2,] 0.2474040 0.4794255 0.6816388 0.8414710 0.9489846 0.9974950 0.9839859 0.9092974  0.7780732  0.5984721</w:t>
      </w:r>
      <w:r>
        <w:br/>
      </w:r>
      <w:r>
        <w:rPr>
          <w:rStyle w:val="VerbatimChar"/>
        </w:rPr>
        <w:t xml:space="preserve">## [3,] 0.4794255 0.6816388 0.8414710 0.9489846 0.9974950 0.9839859 0.9092974 0.7780732  0.5984721  0.3816610</w:t>
      </w:r>
      <w:r>
        <w:br/>
      </w:r>
      <w:r>
        <w:rPr>
          <w:rStyle w:val="VerbatimChar"/>
        </w:rPr>
        <w:t xml:space="preserve">## [4,] 0.6816388 0.8414710 0.9489846 0.9974950 0.9839859 0.9092974 0.7780732 0.5984721  0.3816610  0.1411200</w:t>
      </w:r>
      <w:r>
        <w:br/>
      </w:r>
      <w:r>
        <w:rPr>
          <w:rStyle w:val="VerbatimChar"/>
        </w:rPr>
        <w:t xml:space="preserve">## [5,] 0.8414710 0.9489846 0.9974950 0.9839859 0.9092974 0.7780732 0.5984721 0.3816610  0.1411200 -0.1081951</w:t>
      </w:r>
      <w:r>
        <w:br/>
      </w:r>
      <w:r>
        <w:rPr>
          <w:rStyle w:val="VerbatimChar"/>
        </w:rPr>
        <w:t xml:space="preserve">## [6,] 0.9489846 0.9974950 0.9839859 0.9092974 0.7780732 0.5984721 0.3816610 0.1411200 -0.1081951 -0.3507832</w:t>
      </w:r>
    </w:p>
    <w:p>
      <w:pPr>
        <w:pStyle w:val="SourceCode"/>
      </w:pPr>
      <w:r>
        <w:rPr>
          <w:rStyle w:val="CommentTok"/>
        </w:rPr>
        <w:t xml:space="preserve"># Plot (original vs augmented windows)</w:t>
      </w:r>
      <w:r>
        <w:br/>
      </w:r>
      <w:r>
        <w:br/>
      </w:r>
      <w:r>
        <w:rPr>
          <w:rStyle w:val="NormalTok"/>
        </w:rPr>
        <w:t xml:space="preserve">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(xw)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xw[,sw_size]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i,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"cosine"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lines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i,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col=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(xa))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lines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(idx[j]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sw_size</w:t>
      </w:r>
      <w:r>
        <w:rPr>
          <w:rStyle w:val="SpecialCharTok"/>
        </w:rPr>
        <w:t xml:space="preserve">+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idx[j],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xa[j,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sw_size], </w:t>
      </w:r>
      <w:r>
        <w:rPr>
          <w:rStyle w:val="AttributeTok"/>
        </w:rPr>
        <w:t xml:space="preserve">col=</w:t>
      </w:r>
      <w:r>
        <w:rPr>
          <w:rStyle w:val="StringTok"/>
        </w:rPr>
        <w:t xml:space="preserve">"green"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/home/gpca/tspredit/examples/augment/doc/ts_aug_none_files/figure-docx/unnamed-chunk-6-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References</w:t>
      </w:r>
      <w:r>
        <w:t xml:space="preserve"> </w:t>
      </w:r>
      <w:r>
        <w:t xml:space="preserve">- H. I. Fawaz, G. Forestier, J. Weber, L. Idoumghar, and P.-A. Muller (2019). Deep learning for time series classification: A review. Data Mining and Knowledge Discovery, 33, 917–963.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Relationship Type="http://schemas.openxmlformats.org/officeDocument/2006/relationships/image" Id="rId23" Target="media/rId2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2025-11-07T00:28:03Z</dcterms:created>
  <dcterms:modified xsi:type="dcterms:W3CDTF">2025-11-07T00:28:03Z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