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Shrink: Scales deviations from the local mean by a factor in (0,1), producing attenuated versions of the original windows. This increases robustness to amplitude variability and measurement gain changes.</w:t>
      </w:r>
    </w:p>
    <w:p>
      <w:pPr>
        <w:pStyle w:val="BodyText"/>
      </w:pPr>
      <w:r>
        <w:t xml:space="preserve">Objective: Augment data by shrinking variations within the window (shrink), generating smoother versions of the patterns.</w:t>
      </w:r>
    </w:p>
    <w:p>
      <w:pPr>
        <w:pStyle w:val="SourceCode"/>
      </w:pP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shrink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shrink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2025-11-07T00:28:04Z</dcterms:created>
  <dcterms:modified xsi:type="dcterms:W3CDTF">2025-11-07T00:28:04Z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