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ven-lag-mapping"/>
    <w:p>
      <w:pPr>
        <w:pStyle w:val="Heading2"/>
      </w:pPr>
      <w:r>
        <w:t xml:space="preserve">Even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</w:t>
      </w:r>
      <w:r>
        <w:t xml:space="preserve"> </w:t>
      </w:r>
      <w:r>
        <w:t xml:space="preserve">spreads the selected lags approximately uniformly across the available window.</w:t>
      </w:r>
      <w:r>
        <w:t xml:space="preserve"> </w:t>
      </w:r>
      <w:r>
        <w:t xml:space="preserve">- It is useful when a compact predictor should still cover short, medium, and longer horizons.</w:t>
      </w:r>
    </w:p>
    <w:p>
      <w:pPr>
        <w:pStyle w:val="BodyText"/>
      </w:pPr>
      <w:r>
        <w:t xml:space="preserve">Didactic goal: contrast uniform coverage of the input window against the purely recent baseline.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Even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lagmapping\doc\02-even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9 6 4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"t9" "t6" "t4"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2026-05-19T14:59:13Z</dcterms:created>
  <dcterms:modified xsi:type="dcterms:W3CDTF">2026-05-19T14:59:13Z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