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asinh-normalization"/>
    <w:p>
      <w:pPr>
        <w:pStyle w:val="Heading2"/>
      </w:pPr>
      <w:r>
        <w:t xml:space="preserve">Adaptive Asinh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Adaptive asinh normalization applies an inverse-hyperbolic-sine contrast around the adaptive local level.</w:t>
      </w:r>
    </w:p>
    <w:p>
      <w:pPr>
        <w:pStyle w:val="Compact"/>
        <w:numPr>
          <w:ilvl w:val="0"/>
          <w:numId w:val="1001"/>
        </w:numPr>
      </w:pPr>
      <w:r>
        <w:t xml:space="preserve">It is useful when the analyst wants a transformation that is approximately linear near zero and progressively log-like for larger magnitudes.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"asinh"</w:t>
      </w:r>
      <w:r>
        <w:t xml:space="preserve">.</w:t>
      </w:r>
    </w:p>
    <w:p>
      <w:pPr>
        <w:pStyle w:val="FirstParagraph"/>
      </w:pPr>
      <w:r>
        <w:t xml:space="preserve">Didactic goal: understand a smooth nonlinear alternative that connects additive and multiplicative interpretations without a hard switch.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Asinh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8-adaptive-asinh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adaptive asinh operator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"asinh"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0.2262389 0.3352009 0.4289621 0.5011678 0.5519707 0.5832954 0.5967386 0.5930364 0.5719840 0.5324504</w:t>
      </w:r>
      <w:r>
        <w:br/>
      </w:r>
      <w:r>
        <w:rPr>
          <w:rStyle w:val="VerbatimChar"/>
        </w:rPr>
        <w:t xml:space="preserve">## [2,] 0.3189801 0.4108290 0.4818765 0.5320312 0.5630196 0.5763321 0.5726651 0.5518244 0.5127444 0.4537091</w:t>
      </w:r>
      <w:r>
        <w:br/>
      </w:r>
      <w:r>
        <w:rPr>
          <w:rStyle w:val="VerbatimChar"/>
        </w:rPr>
        <w:t xml:space="preserve">## [3,] 0.4069396 0.4777221 0.5277275 0.5586382 0.5719204 0.5682616 0.5474698 0.5084945 0.4496521 0.3696621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:0.06292  </w:t>
      </w:r>
      <w:r>
        <w:br/>
      </w:r>
      <w:r>
        <w:rPr>
          <w:rStyle w:val="VerbatimChar"/>
        </w:rPr>
        <w:t xml:space="preserve">##  1st Qu.:0.19582  </w:t>
      </w:r>
      <w:r>
        <w:br/>
      </w:r>
      <w:r>
        <w:rPr>
          <w:rStyle w:val="VerbatimChar"/>
        </w:rPr>
        <w:t xml:space="preserve">##  Median :0.44171  </w:t>
      </w:r>
      <w:r>
        <w:br/>
      </w:r>
      <w:r>
        <w:rPr>
          <w:rStyle w:val="VerbatimChar"/>
        </w:rPr>
        <w:t xml:space="preserve">##  Mean   :0.45703  </w:t>
      </w:r>
      <w:r>
        <w:br/>
      </w:r>
      <w:r>
        <w:rPr>
          <w:rStyle w:val="VerbatimChar"/>
        </w:rPr>
        <w:t xml:space="preserve">##  3rd Qu.:0.68093  </w:t>
      </w:r>
      <w:r>
        <w:br/>
      </w:r>
      <w:r>
        <w:rPr>
          <w:rStyle w:val="VerbatimChar"/>
        </w:rPr>
        <w:t xml:space="preserve">##  Max.   :0.94882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8-adaptive-asinh-normalization_files/fb1a5bb0477b48ef727899a5f431d454edcd759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Near zero, the transformed target stays close to an additive contrast.</w:t>
      </w:r>
    </w:p>
    <w:p>
      <w:pPr>
        <w:pStyle w:val="Compact"/>
        <w:numPr>
          <w:ilvl w:val="0"/>
          <w:numId w:val="1002"/>
        </w:numPr>
      </w:pPr>
      <w:r>
        <w:t xml:space="preserve">For larger deviations, the transformation becomes progressively more log-like without switching abruptly.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Burbidge, J. B., Magee, L., Robb, A. L. (1988). Alternative Transformations to Handle Extreme Values of the Dependent Variable.</w:t>
      </w:r>
      <w:r>
        <w:t xml:space="preserve"> </w:t>
      </w:r>
      <w:r>
        <w:t xml:space="preserve">Journal of the American Statistical Association, 83(401), 123-127.</w:t>
      </w:r>
    </w:p>
    <w:p>
      <w:pPr>
        <w:pStyle w:val="Compact"/>
        <w:numPr>
          <w:ilvl w:val="0"/>
          <w:numId w:val="1003"/>
        </w:numPr>
      </w:pPr>
      <w:r>
        <w:t xml:space="preserve">Bellemare, M. F., Wichman, C. J. (2020). Elasticities and the Inverse Hyperbolic Sine Transformation.</w:t>
      </w:r>
      <w:r>
        <w:t xml:space="preserve"> </w:t>
      </w:r>
      <w:r>
        <w:t xml:space="preserve">Oxford Bulletin of Economics and Statistics, 82(1), 50-61.</w:t>
      </w:r>
      <w:r>
        <w:t xml:space="preserve"> </w:t>
      </w:r>
      <w:hyperlink r:id="rId15">
        <w:r>
          <w:rPr>
            <w:rStyle w:val="Hyperlink"/>
          </w:rPr>
          <w:t xml:space="preserve">doi:10.1111/obes.12325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11/obes.1232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11/obes.1232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2026-05-19T15:09:16Z</dcterms:created>
  <dcterms:modified xsi:type="dcterms:W3CDTF">2026-05-19T15:09:16Z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