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"compute_adaptive_reference"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apply_operation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"apply_adaptive_operation"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window_ref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compute_reference</w:t>
      </w:r>
      <w:r>
        <w:rPr>
          <w:rStyle w:val="NormalTok"/>
        </w:rPr>
        <w:t xml:space="preserve">(preproc,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apply_operation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preproc,</w:t>
      </w:r>
      <w:r>
        <w:br/>
      </w:r>
      <w:r>
        <w:rPr>
          <w:rStyle w:val="NormalTok"/>
        </w:rPr>
        <w:t xml:space="preserve">     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center,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series. It is the clearest way to see</w:t>
      </w:r>
      <w:r>
        <w:t xml:space="preserve"> </w:t>
      </w:r>
      <w:r>
        <w:t xml:space="preserve">how each operator transforms the same lag profile.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31cb5fee2e5703e49e88ac61e62d3fac7064411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7fc4c75fb491c38d76c31e7600e13ff0f24b7ec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2026-05-19T15:09:26Z</dcterms:created>
  <dcterms:modified xsi:type="dcterms:W3CDTF">2026-05-19T15:09:26Z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