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vm-regression"/>
    <w:p>
      <w:pPr>
        <w:pStyle w:val="Heading2"/>
      </w:pPr>
      <w:r>
        <w:t xml:space="preserve">SVM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Support Vector Regression learns a nonlinear forecasting function by maximizing margin while controlling prediction error.</w:t>
      </w:r>
      <w:r>
        <w:t xml:space="preserve"> </w:t>
      </w:r>
      <w:r>
        <w:t xml:space="preserve">- It is useful when local linearity is insufficient but the problem still benefits from a strong regularization principle.</w:t>
      </w:r>
    </w:p>
    <w:p>
      <w:pPr>
        <w:pStyle w:val="BodyText"/>
      </w:pPr>
      <w:r>
        <w:t xml:space="preserve">Didactic goal: see how a margin-based regressor behaves on lagged time-series inputs.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SVM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3-sv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svm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SVM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5.130098e-07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0.41268934  0.17333448 -0.07563299 -0.31983409 -0.54481781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0.002684197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3.199991e-07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3.199991e-07 0.002684197 0.9999972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3-svm-regression_files/22cd6b91363922243afe97badb613113161db62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J. Smola and B. Schölkopf (2004). A tutorial on support vector regression. Statistics and Computing, 14(3), 199–222.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2026-05-19T15:09:51Z</dcterms:created>
  <dcterms:modified xsi:type="dcterms:W3CDTF">2026-05-19T15:09:51Z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