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nv1d-regression"/>
    <w:p>
      <w:pPr>
        <w:pStyle w:val="Heading2"/>
      </w:pPr>
      <w:r>
        <w:t xml:space="preserve">Conv1D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 1D convolutional network applies learnable filters across the lag window to detect local temporal motifs.</w:t>
      </w:r>
      <w:r>
        <w:t xml:space="preserve"> </w:t>
      </w:r>
      <w:r>
        <w:t xml:space="preserve">- It is useful when short repeated patterns matter more than long global recurrence alone.</w:t>
      </w:r>
    </w:p>
    <w:p>
      <w:pPr>
        <w:pStyle w:val="BodyText"/>
      </w:pPr>
      <w:r>
        <w:t xml:space="preserve">Didactic goal: understand how convolution changes the representation learned from sliding windows.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Time Series Regression - 1D CNN (Conv1D)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prediction\doc\07-conv1d-regression_files/716a4d1e457f97618aa46ca41f6f38e17df768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step training the 1d cnn.</w:t>
      </w:r>
    </w:p>
    <w:p>
      <w:pPr>
        <w:pStyle w:val="SourceCode"/>
      </w:pPr>
      <w:r>
        <w:rPr>
          <w:rStyle w:val="CommentTok"/>
        </w:rPr>
        <w:t xml:space="preserve"># Training the 1D CNN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0.0001007105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,], </w:t>
      </w:r>
      <w:r>
        <w:rPr>
          <w:rStyle w:val="AttributeTok"/>
        </w:rPr>
        <w:t xml:space="preserve">steps_ahead=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0.4347691  0.2108168 -0.0255444 -0.2686127 -0.4891945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0.301998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0.001986985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0.9828383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mse    smape        R2</w:t>
      </w:r>
      <w:r>
        <w:br/>
      </w:r>
      <w:r>
        <w:rPr>
          <w:rStyle w:val="VerbatimChar"/>
        </w:rPr>
        <w:t xml:space="preserve">## 1 0.001986985 0.301998 0.9828383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tspredit\examples\prediction\doc\07-conv1d-regression_files/1b3f203441f18e1fd4e3c3d2724b273c2f65276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Y. LeCun, L. Bottou, Y. Bengio, and P. Haffner (1998). Gradient-based learning applied to document recognition. Proceedings of the IEEE, 86(11), 2278–2324.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2026-05-19T15:10:25Z</dcterms:created>
  <dcterms:modified xsi:type="dcterms:W3CDTF">2026-05-19T15:10:25Z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